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5624E" w14:textId="3E1C6AA0" w:rsidR="00D21830" w:rsidRPr="002072AB" w:rsidRDefault="00FC6472" w:rsidP="00A50447">
      <w:pPr>
        <w:jc w:val="center"/>
        <w:rPr>
          <w:rFonts w:ascii="Times New Roman" w:hAnsi="Times New Roman"/>
          <w:b/>
          <w:lang w:val="en-US"/>
        </w:rPr>
      </w:pPr>
      <w:r w:rsidRPr="00FC6472">
        <w:rPr>
          <w:rFonts w:ascii="Times New Roman" w:hAnsi="Times New Roman"/>
          <w:b/>
          <w:lang w:val="en-US"/>
        </w:rPr>
        <w:t>Promoting the Effectiveness of the Rotterdam Convention</w:t>
      </w:r>
      <w:r w:rsidR="00BC2CE7">
        <w:rPr>
          <w:rFonts w:ascii="Times New Roman" w:hAnsi="Times New Roman"/>
          <w:b/>
          <w:lang w:val="en-US"/>
        </w:rPr>
        <w:t xml:space="preserve">: Ways </w:t>
      </w:r>
      <w:r w:rsidR="00EF3265">
        <w:rPr>
          <w:rFonts w:ascii="Times New Roman" w:hAnsi="Times New Roman"/>
          <w:b/>
          <w:lang w:val="en-US"/>
        </w:rPr>
        <w:t>F</w:t>
      </w:r>
      <w:r w:rsidR="00BC2CE7">
        <w:rPr>
          <w:rFonts w:ascii="Times New Roman" w:hAnsi="Times New Roman"/>
          <w:b/>
          <w:lang w:val="en-US"/>
        </w:rPr>
        <w:t xml:space="preserve">orward and </w:t>
      </w:r>
      <w:r w:rsidR="00EF3265">
        <w:rPr>
          <w:rFonts w:ascii="Times New Roman" w:hAnsi="Times New Roman"/>
          <w:b/>
          <w:lang w:val="en-US"/>
        </w:rPr>
        <w:t>P</w:t>
      </w:r>
      <w:r w:rsidR="00BC2CE7">
        <w:rPr>
          <w:rFonts w:ascii="Times New Roman" w:hAnsi="Times New Roman"/>
          <w:b/>
          <w:lang w:val="en-US"/>
        </w:rPr>
        <w:t xml:space="preserve">rocedural </w:t>
      </w:r>
      <w:r w:rsidR="00EF3265">
        <w:rPr>
          <w:rFonts w:ascii="Times New Roman" w:hAnsi="Times New Roman"/>
          <w:b/>
          <w:lang w:val="en-US"/>
        </w:rPr>
        <w:t>I</w:t>
      </w:r>
      <w:r w:rsidR="00BC2CE7">
        <w:rPr>
          <w:rFonts w:ascii="Times New Roman" w:hAnsi="Times New Roman"/>
          <w:b/>
          <w:lang w:val="en-US"/>
        </w:rPr>
        <w:t>mplications</w:t>
      </w:r>
    </w:p>
    <w:p w14:paraId="046925D4" w14:textId="77777777" w:rsidR="00D21830" w:rsidRPr="002072AB" w:rsidRDefault="00D21830" w:rsidP="00A50447">
      <w:pPr>
        <w:jc w:val="both"/>
        <w:rPr>
          <w:rFonts w:ascii="Times New Roman" w:hAnsi="Times New Roman"/>
          <w:lang w:val="en-US"/>
        </w:rPr>
      </w:pPr>
    </w:p>
    <w:p w14:paraId="50DCE12C" w14:textId="77777777" w:rsidR="00D21830" w:rsidRPr="002072AB" w:rsidRDefault="00D21830" w:rsidP="00A50447">
      <w:pPr>
        <w:jc w:val="both"/>
        <w:rPr>
          <w:rFonts w:ascii="Times New Roman" w:hAnsi="Times New Roman"/>
          <w:lang w:val="en-US"/>
        </w:rPr>
      </w:pPr>
    </w:p>
    <w:p w14:paraId="44B746CD" w14:textId="77777777" w:rsidR="00D21830" w:rsidRPr="002072AB" w:rsidRDefault="00D21830" w:rsidP="00A50447">
      <w:pPr>
        <w:jc w:val="both"/>
        <w:rPr>
          <w:rFonts w:ascii="Times New Roman" w:hAnsi="Times New Roman"/>
          <w:lang w:val="en-US"/>
        </w:rPr>
      </w:pPr>
    </w:p>
    <w:p w14:paraId="4623FCF1" w14:textId="633357C3" w:rsidR="00B9074E" w:rsidRPr="00990A1E" w:rsidRDefault="00FC6472" w:rsidP="00A50447">
      <w:pPr>
        <w:jc w:val="both"/>
        <w:rPr>
          <w:rFonts w:ascii="Times New Roman" w:hAnsi="Times New Roman"/>
          <w:b/>
          <w:lang w:val="en-US"/>
        </w:rPr>
      </w:pPr>
      <w:r w:rsidRPr="00990A1E">
        <w:rPr>
          <w:rFonts w:ascii="Times New Roman" w:hAnsi="Times New Roman"/>
          <w:b/>
          <w:lang w:val="en-US"/>
        </w:rPr>
        <w:t>Introduction</w:t>
      </w:r>
    </w:p>
    <w:p w14:paraId="6DAB748D" w14:textId="77777777" w:rsidR="00D21830" w:rsidRPr="002072AB" w:rsidRDefault="00D21830" w:rsidP="00A50447">
      <w:pPr>
        <w:jc w:val="both"/>
        <w:rPr>
          <w:rFonts w:ascii="Times New Roman" w:hAnsi="Times New Roman"/>
          <w:lang w:val="en-US"/>
        </w:rPr>
      </w:pPr>
    </w:p>
    <w:p w14:paraId="65A33E9B" w14:textId="43BAB34C" w:rsidR="00FA5D46" w:rsidRPr="002072AB" w:rsidRDefault="00FC6472" w:rsidP="00A50447">
      <w:pPr>
        <w:jc w:val="both"/>
        <w:rPr>
          <w:rFonts w:ascii="Times New Roman" w:hAnsi="Times New Roman"/>
          <w:lang w:val="en-US"/>
        </w:rPr>
      </w:pPr>
      <w:r w:rsidRPr="00FC6472">
        <w:rPr>
          <w:rFonts w:ascii="Times New Roman" w:hAnsi="Times New Roman"/>
          <w:lang w:val="en-US"/>
        </w:rPr>
        <w:t>The Rotterdam Convention (the Convention), a legally binding instrument on the Prior Informed Consent (PIC) procedure for international trade in hazardous substances, was adopted in 1998 and entered into force in 2004.</w:t>
      </w:r>
      <w:r w:rsidRPr="00FC6472">
        <w:rPr>
          <w:rStyle w:val="Marquenotebasdepage"/>
          <w:rFonts w:ascii="Times New Roman" w:hAnsi="Times New Roman"/>
          <w:lang w:val="en-US"/>
        </w:rPr>
        <w:footnoteReference w:id="1"/>
      </w:r>
      <w:r w:rsidRPr="00FC6472">
        <w:rPr>
          <w:rFonts w:ascii="Times New Roman" w:hAnsi="Times New Roman"/>
          <w:lang w:val="en-US"/>
        </w:rPr>
        <w:t xml:space="preserve"> </w:t>
      </w:r>
    </w:p>
    <w:p w14:paraId="42A5A40A" w14:textId="77777777" w:rsidR="009372AD" w:rsidRPr="002072AB" w:rsidRDefault="009372AD" w:rsidP="00A50447">
      <w:pPr>
        <w:jc w:val="both"/>
        <w:rPr>
          <w:rFonts w:ascii="Times New Roman" w:hAnsi="Times New Roman"/>
          <w:lang w:val="en-US"/>
        </w:rPr>
      </w:pPr>
    </w:p>
    <w:p w14:paraId="6792E467" w14:textId="7FE09E85" w:rsidR="00FA5D46" w:rsidRPr="002072AB" w:rsidRDefault="00FC6472" w:rsidP="00A50447">
      <w:pPr>
        <w:jc w:val="both"/>
        <w:rPr>
          <w:rFonts w:ascii="Times New Roman" w:hAnsi="Times New Roman"/>
          <w:lang w:val="en-US"/>
        </w:rPr>
      </w:pPr>
      <w:r w:rsidRPr="00FC6472">
        <w:rPr>
          <w:rFonts w:ascii="Times New Roman" w:hAnsi="Times New Roman"/>
          <w:lang w:val="en-US"/>
        </w:rPr>
        <w:t xml:space="preserve">According to the Convention, chemicals listed in Annex III to the Convention may only be traded between the Parties in accordance with the PIC procedure established by the Convention. Article 22.5 of the Convention lays out the procedure to list a chemical </w:t>
      </w:r>
      <w:r w:rsidR="00E52922">
        <w:rPr>
          <w:rFonts w:ascii="Times New Roman" w:hAnsi="Times New Roman"/>
          <w:lang w:val="en-US"/>
        </w:rPr>
        <w:t>in</w:t>
      </w:r>
      <w:r w:rsidRPr="00FC6472">
        <w:rPr>
          <w:rFonts w:ascii="Times New Roman" w:hAnsi="Times New Roman"/>
          <w:lang w:val="en-US"/>
        </w:rPr>
        <w:t xml:space="preserve"> the Annex III list. It </w:t>
      </w:r>
      <w:r w:rsidR="00F13865">
        <w:rPr>
          <w:rFonts w:ascii="Times New Roman" w:hAnsi="Times New Roman"/>
          <w:lang w:val="en-US"/>
        </w:rPr>
        <w:t>refers to the procedural steps in</w:t>
      </w:r>
      <w:r w:rsidRPr="00FC6472">
        <w:rPr>
          <w:rFonts w:ascii="Times New Roman" w:hAnsi="Times New Roman"/>
          <w:lang w:val="en-US"/>
        </w:rPr>
        <w:t xml:space="preserve"> Articles 5 to 9 of the Convention and requires a consensus decision</w:t>
      </w:r>
      <w:r w:rsidR="002072AB">
        <w:rPr>
          <w:rFonts w:ascii="Times New Roman" w:hAnsi="Times New Roman"/>
          <w:lang w:val="en-US"/>
        </w:rPr>
        <w:t xml:space="preserve">. </w:t>
      </w:r>
    </w:p>
    <w:p w14:paraId="09513C48" w14:textId="77777777" w:rsidR="009372AD" w:rsidRDefault="009372AD" w:rsidP="00A50447">
      <w:pPr>
        <w:jc w:val="both"/>
        <w:rPr>
          <w:rFonts w:ascii="Times New Roman" w:hAnsi="Times New Roman"/>
          <w:lang w:val="en-US"/>
        </w:rPr>
      </w:pPr>
    </w:p>
    <w:p w14:paraId="66E0ACFE" w14:textId="16B66518" w:rsidR="00A43474" w:rsidRDefault="007A1F01" w:rsidP="009F0C79">
      <w:pPr>
        <w:pStyle w:val="NormalWeb"/>
        <w:spacing w:before="2" w:after="2"/>
        <w:jc w:val="both"/>
        <w:rPr>
          <w:rFonts w:ascii="Times New Roman" w:hAnsi="Times New Roman"/>
          <w:sz w:val="24"/>
          <w:lang w:val="en-US"/>
        </w:rPr>
      </w:pPr>
      <w:r>
        <w:rPr>
          <w:rFonts w:ascii="Times New Roman" w:hAnsi="Times New Roman"/>
          <w:sz w:val="24"/>
          <w:lang w:val="en-US"/>
        </w:rPr>
        <w:t xml:space="preserve">The Rotterdam Convention </w:t>
      </w:r>
      <w:r w:rsidR="002729AC">
        <w:rPr>
          <w:rFonts w:ascii="Times New Roman" w:hAnsi="Times New Roman"/>
          <w:sz w:val="24"/>
          <w:lang w:val="en-US"/>
        </w:rPr>
        <w:t xml:space="preserve">is </w:t>
      </w:r>
      <w:r>
        <w:rPr>
          <w:rFonts w:ascii="Times New Roman" w:hAnsi="Times New Roman"/>
          <w:sz w:val="24"/>
          <w:lang w:val="en-US"/>
        </w:rPr>
        <w:t xml:space="preserve">an important </w:t>
      </w:r>
      <w:r w:rsidR="002729AC">
        <w:rPr>
          <w:rFonts w:ascii="Times New Roman" w:hAnsi="Times New Roman"/>
          <w:sz w:val="24"/>
          <w:lang w:val="en-US"/>
        </w:rPr>
        <w:t xml:space="preserve">mechanism for achieving a number of </w:t>
      </w:r>
      <w:r>
        <w:rPr>
          <w:rFonts w:ascii="Times New Roman" w:hAnsi="Times New Roman"/>
          <w:sz w:val="24"/>
          <w:lang w:val="en-US"/>
        </w:rPr>
        <w:t xml:space="preserve">the </w:t>
      </w:r>
      <w:r w:rsidR="009231EB">
        <w:rPr>
          <w:rFonts w:ascii="Times New Roman" w:hAnsi="Times New Roman"/>
          <w:sz w:val="24"/>
          <w:lang w:val="en-US"/>
        </w:rPr>
        <w:t>S</w:t>
      </w:r>
      <w:r>
        <w:rPr>
          <w:rFonts w:ascii="Times New Roman" w:hAnsi="Times New Roman"/>
          <w:sz w:val="24"/>
          <w:lang w:val="en-US"/>
        </w:rPr>
        <w:t>ustainable Development Goals.</w:t>
      </w:r>
      <w:r>
        <w:rPr>
          <w:rStyle w:val="Marquenotebasdepage"/>
          <w:rFonts w:ascii="Times New Roman" w:hAnsi="Times New Roman"/>
          <w:sz w:val="24"/>
          <w:lang w:val="en-US"/>
        </w:rPr>
        <w:footnoteReference w:id="2"/>
      </w:r>
      <w:r>
        <w:rPr>
          <w:rFonts w:ascii="Times New Roman" w:hAnsi="Times New Roman"/>
          <w:sz w:val="24"/>
          <w:lang w:val="en-US"/>
        </w:rPr>
        <w:t xml:space="preserve"> </w:t>
      </w:r>
    </w:p>
    <w:p w14:paraId="0669E44B" w14:textId="77777777" w:rsidR="00A43474" w:rsidRDefault="00A43474" w:rsidP="009F0C79">
      <w:pPr>
        <w:pStyle w:val="NormalWeb"/>
        <w:spacing w:before="2" w:after="2"/>
        <w:jc w:val="both"/>
        <w:rPr>
          <w:rFonts w:ascii="Times New Roman" w:hAnsi="Times New Roman"/>
          <w:sz w:val="24"/>
          <w:lang w:val="en-US"/>
        </w:rPr>
      </w:pPr>
    </w:p>
    <w:p w14:paraId="0C82491C" w14:textId="7147193D" w:rsidR="009F0C79" w:rsidRPr="009F0C79" w:rsidRDefault="007259ED" w:rsidP="009C04CE">
      <w:pPr>
        <w:pStyle w:val="NormalWeb"/>
        <w:spacing w:before="2" w:after="2"/>
        <w:jc w:val="both"/>
        <w:rPr>
          <w:rFonts w:ascii="Times New Roman" w:eastAsiaTheme="minorEastAsia" w:hAnsi="Times New Roman"/>
          <w:sz w:val="24"/>
          <w:lang w:val="en-US"/>
        </w:rPr>
      </w:pPr>
      <w:r>
        <w:rPr>
          <w:rFonts w:ascii="Times New Roman" w:hAnsi="Times New Roman"/>
          <w:sz w:val="24"/>
          <w:lang w:val="en-US"/>
        </w:rPr>
        <w:t>T</w:t>
      </w:r>
      <w:r w:rsidR="007A1F01">
        <w:rPr>
          <w:rFonts w:ascii="Times New Roman" w:hAnsi="Times New Roman"/>
          <w:sz w:val="24"/>
          <w:lang w:val="en-US"/>
        </w:rPr>
        <w:t xml:space="preserve">he positive </w:t>
      </w:r>
      <w:r w:rsidR="00553F22">
        <w:rPr>
          <w:rFonts w:ascii="Times New Roman" w:hAnsi="Times New Roman"/>
          <w:sz w:val="24"/>
          <w:lang w:val="en-US"/>
        </w:rPr>
        <w:t xml:space="preserve">impact </w:t>
      </w:r>
      <w:r w:rsidR="009F0C79" w:rsidRPr="009F0C79">
        <w:rPr>
          <w:rFonts w:ascii="Times New Roman" w:hAnsi="Times New Roman"/>
          <w:sz w:val="24"/>
          <w:lang w:val="en-US"/>
        </w:rPr>
        <w:t xml:space="preserve">of </w:t>
      </w:r>
      <w:r w:rsidR="005B2DE4">
        <w:rPr>
          <w:rFonts w:ascii="Times New Roman" w:hAnsi="Times New Roman"/>
          <w:sz w:val="24"/>
          <w:lang w:val="en-US"/>
        </w:rPr>
        <w:t xml:space="preserve">listing </w:t>
      </w:r>
      <w:r>
        <w:rPr>
          <w:rFonts w:ascii="Times New Roman" w:hAnsi="Times New Roman"/>
          <w:sz w:val="24"/>
          <w:lang w:val="en-US"/>
        </w:rPr>
        <w:t xml:space="preserve">substances in </w:t>
      </w:r>
      <w:r w:rsidR="009F0C79" w:rsidRPr="009F0C79">
        <w:rPr>
          <w:rFonts w:ascii="Times New Roman" w:hAnsi="Times New Roman"/>
          <w:sz w:val="24"/>
          <w:lang w:val="en-US"/>
        </w:rPr>
        <w:t>Annex III</w:t>
      </w:r>
      <w:r>
        <w:rPr>
          <w:rFonts w:ascii="Times New Roman" w:hAnsi="Times New Roman"/>
          <w:sz w:val="24"/>
          <w:lang w:val="en-US"/>
        </w:rPr>
        <w:t xml:space="preserve"> </w:t>
      </w:r>
      <w:r w:rsidR="00794C75">
        <w:rPr>
          <w:rFonts w:ascii="Times New Roman" w:hAnsi="Times New Roman"/>
          <w:sz w:val="24"/>
          <w:lang w:val="en-US"/>
        </w:rPr>
        <w:t xml:space="preserve">is that it </w:t>
      </w:r>
      <w:r w:rsidR="00A43474">
        <w:rPr>
          <w:rFonts w:ascii="Times New Roman" w:hAnsi="Times New Roman"/>
          <w:sz w:val="24"/>
          <w:lang w:val="en-US"/>
        </w:rPr>
        <w:t xml:space="preserve">provides countries with the information they need to ensure the safe management of these chemicals. Countries must not only provide explicit consent to receive imports of these chemicals, but </w:t>
      </w:r>
      <w:r w:rsidR="003659A4">
        <w:rPr>
          <w:rFonts w:ascii="Times New Roman" w:hAnsi="Times New Roman"/>
          <w:sz w:val="24"/>
          <w:lang w:val="en-US"/>
        </w:rPr>
        <w:t xml:space="preserve">they </w:t>
      </w:r>
      <w:r w:rsidR="00A43474">
        <w:rPr>
          <w:rFonts w:ascii="Times New Roman" w:hAnsi="Times New Roman"/>
          <w:sz w:val="24"/>
          <w:lang w:val="en-US"/>
        </w:rPr>
        <w:t xml:space="preserve">can also use the </w:t>
      </w:r>
      <w:r w:rsidR="00466D56">
        <w:rPr>
          <w:rFonts w:ascii="Times New Roman" w:hAnsi="Times New Roman"/>
          <w:sz w:val="24"/>
          <w:lang w:val="en-US"/>
        </w:rPr>
        <w:t xml:space="preserve">scientific </w:t>
      </w:r>
      <w:r w:rsidR="00A43474">
        <w:rPr>
          <w:rFonts w:ascii="Times New Roman" w:hAnsi="Times New Roman"/>
          <w:sz w:val="24"/>
          <w:lang w:val="en-US"/>
        </w:rPr>
        <w:t xml:space="preserve">information provided through </w:t>
      </w:r>
      <w:r w:rsidR="00466D56">
        <w:rPr>
          <w:rFonts w:ascii="Times New Roman" w:hAnsi="Times New Roman"/>
          <w:sz w:val="24"/>
          <w:lang w:val="en-US"/>
        </w:rPr>
        <w:t xml:space="preserve">the listing process to decide how to manage the chemicals domestically, according to their own political decisions about acceptable levels of risk. </w:t>
      </w:r>
      <w:r w:rsidR="00F9081D">
        <w:rPr>
          <w:rFonts w:ascii="Times New Roman" w:hAnsi="Times New Roman"/>
          <w:sz w:val="24"/>
          <w:lang w:val="en-US"/>
        </w:rPr>
        <w:t xml:space="preserve">Private standards </w:t>
      </w:r>
      <w:r w:rsidR="00CF3337">
        <w:rPr>
          <w:rFonts w:ascii="Times New Roman" w:hAnsi="Times New Roman"/>
          <w:sz w:val="24"/>
          <w:lang w:val="en-US"/>
        </w:rPr>
        <w:t xml:space="preserve">can </w:t>
      </w:r>
      <w:r w:rsidR="00B5326A">
        <w:rPr>
          <w:rFonts w:ascii="Times New Roman" w:hAnsi="Times New Roman"/>
          <w:sz w:val="24"/>
          <w:lang w:val="en-US"/>
        </w:rPr>
        <w:t>also rely on Annex III</w:t>
      </w:r>
      <w:r w:rsidR="00CD33F1">
        <w:rPr>
          <w:rFonts w:ascii="Times New Roman" w:hAnsi="Times New Roman"/>
          <w:sz w:val="24"/>
          <w:lang w:val="en-US"/>
        </w:rPr>
        <w:t xml:space="preserve"> to establish the criteria for compliance with standards and labels</w:t>
      </w:r>
      <w:r w:rsidR="00B5326A">
        <w:rPr>
          <w:rFonts w:ascii="Times New Roman" w:hAnsi="Times New Roman"/>
          <w:sz w:val="24"/>
          <w:lang w:val="en-US"/>
        </w:rPr>
        <w:t>.</w:t>
      </w:r>
      <w:r w:rsidR="009F0C79" w:rsidRPr="009F0C79">
        <w:rPr>
          <w:rStyle w:val="Marquenotebasdepage"/>
          <w:rFonts w:ascii="Times New Roman" w:hAnsi="Times New Roman"/>
          <w:sz w:val="24"/>
          <w:lang w:val="en-US"/>
        </w:rPr>
        <w:footnoteReference w:id="3"/>
      </w:r>
    </w:p>
    <w:p w14:paraId="7D3B7E6D" w14:textId="77777777" w:rsidR="009F0C79" w:rsidRPr="002072AB" w:rsidRDefault="009F0C79" w:rsidP="00A50447">
      <w:pPr>
        <w:jc w:val="both"/>
        <w:rPr>
          <w:rFonts w:ascii="Times New Roman" w:hAnsi="Times New Roman"/>
          <w:lang w:val="en-US"/>
        </w:rPr>
      </w:pPr>
    </w:p>
    <w:p w14:paraId="6E6E11D5" w14:textId="4B175D00" w:rsidR="00F0299E" w:rsidRDefault="00D4193A" w:rsidP="00A50447">
      <w:pPr>
        <w:jc w:val="both"/>
        <w:rPr>
          <w:rFonts w:ascii="Times New Roman" w:hAnsi="Times New Roman"/>
          <w:lang w:val="en-US"/>
        </w:rPr>
      </w:pPr>
      <w:r>
        <w:rPr>
          <w:rFonts w:ascii="Times New Roman" w:hAnsi="Times New Roman"/>
          <w:lang w:val="en-US"/>
        </w:rPr>
        <w:t xml:space="preserve">However, </w:t>
      </w:r>
      <w:r w:rsidR="00CD33F1">
        <w:rPr>
          <w:rFonts w:ascii="Times New Roman" w:hAnsi="Times New Roman"/>
          <w:lang w:val="en-US"/>
        </w:rPr>
        <w:t xml:space="preserve">many Parties to the Convention are </w:t>
      </w:r>
      <w:r w:rsidR="00440816">
        <w:rPr>
          <w:rFonts w:ascii="Times New Roman" w:hAnsi="Times New Roman"/>
          <w:lang w:val="en-US"/>
        </w:rPr>
        <w:t xml:space="preserve">growing </w:t>
      </w:r>
      <w:r w:rsidR="00CD33F1">
        <w:rPr>
          <w:rFonts w:ascii="Times New Roman" w:hAnsi="Times New Roman"/>
          <w:lang w:val="en-US"/>
        </w:rPr>
        <w:t xml:space="preserve">frustrated with the </w:t>
      </w:r>
      <w:r w:rsidR="001F259D">
        <w:rPr>
          <w:rFonts w:ascii="Times New Roman" w:hAnsi="Times New Roman"/>
          <w:lang w:val="en-US"/>
        </w:rPr>
        <w:t xml:space="preserve">difficulty in listing substances under Annex III, which has been unsuccessful even when </w:t>
      </w:r>
      <w:r w:rsidR="00FC6472" w:rsidRPr="00FC6472">
        <w:rPr>
          <w:rFonts w:ascii="Times New Roman" w:hAnsi="Times New Roman"/>
          <w:lang w:val="en-US"/>
        </w:rPr>
        <w:t xml:space="preserve">the Convention’s Chemical Review Committee (CRC) </w:t>
      </w:r>
      <w:r w:rsidR="001F259D">
        <w:rPr>
          <w:rFonts w:ascii="Times New Roman" w:hAnsi="Times New Roman"/>
          <w:lang w:val="en-US"/>
        </w:rPr>
        <w:t xml:space="preserve">has found </w:t>
      </w:r>
      <w:r w:rsidR="00FC6472" w:rsidRPr="00FC6472">
        <w:rPr>
          <w:rFonts w:ascii="Times New Roman" w:hAnsi="Times New Roman"/>
          <w:lang w:val="en-US"/>
        </w:rPr>
        <w:t>that the chemicals in question meet the scientific criteria for being listed.</w:t>
      </w:r>
      <w:r w:rsidR="00FC6472" w:rsidRPr="00FC6472">
        <w:rPr>
          <w:rStyle w:val="Marquenotebasdepage"/>
          <w:rFonts w:ascii="Times New Roman" w:hAnsi="Times New Roman"/>
          <w:lang w:val="en-US"/>
        </w:rPr>
        <w:footnoteReference w:id="4"/>
      </w:r>
      <w:r w:rsidR="00FC6472" w:rsidRPr="00FC6472">
        <w:rPr>
          <w:rFonts w:ascii="Times New Roman" w:hAnsi="Times New Roman"/>
          <w:lang w:val="en-US"/>
        </w:rPr>
        <w:t xml:space="preserve"> </w:t>
      </w:r>
      <w:r w:rsidR="00F0299E">
        <w:rPr>
          <w:rFonts w:ascii="Times New Roman" w:hAnsi="Times New Roman"/>
          <w:lang w:val="en-US"/>
        </w:rPr>
        <w:t>S</w:t>
      </w:r>
      <w:r>
        <w:rPr>
          <w:rFonts w:ascii="Times New Roman" w:hAnsi="Times New Roman"/>
          <w:lang w:val="en-US"/>
        </w:rPr>
        <w:t>uch s</w:t>
      </w:r>
      <w:r w:rsidR="00F0299E">
        <w:rPr>
          <w:rFonts w:ascii="Times New Roman" w:hAnsi="Times New Roman"/>
          <w:lang w:val="en-US"/>
        </w:rPr>
        <w:t xml:space="preserve">ubstances </w:t>
      </w:r>
      <w:r>
        <w:rPr>
          <w:rFonts w:ascii="Times New Roman" w:hAnsi="Times New Roman"/>
          <w:lang w:val="en-US"/>
        </w:rPr>
        <w:t xml:space="preserve">include </w:t>
      </w:r>
      <w:r w:rsidR="007447DB">
        <w:rPr>
          <w:rFonts w:ascii="Times New Roman" w:hAnsi="Times New Roman"/>
          <w:lang w:val="en-US"/>
        </w:rPr>
        <w:t>chrysotile a</w:t>
      </w:r>
      <w:r w:rsidR="00F0299E">
        <w:rPr>
          <w:rFonts w:ascii="Times New Roman" w:hAnsi="Times New Roman"/>
          <w:lang w:val="en-US"/>
        </w:rPr>
        <w:t xml:space="preserve">sbestos, </w:t>
      </w:r>
      <w:r w:rsidR="00F13865">
        <w:rPr>
          <w:rFonts w:ascii="Times New Roman" w:hAnsi="Times New Roman"/>
          <w:lang w:val="en-US"/>
        </w:rPr>
        <w:t>the l</w:t>
      </w:r>
      <w:r w:rsidR="00F0299E">
        <w:rPr>
          <w:rFonts w:ascii="Times New Roman" w:hAnsi="Times New Roman"/>
          <w:lang w:val="en-US"/>
        </w:rPr>
        <w:t>iquid formulation of Paraquat and Fenthion.</w:t>
      </w:r>
    </w:p>
    <w:p w14:paraId="0FAF0A7F" w14:textId="77777777" w:rsidR="00F03217" w:rsidRPr="002072AB" w:rsidRDefault="00FC6472" w:rsidP="00A50447">
      <w:pPr>
        <w:jc w:val="both"/>
        <w:rPr>
          <w:rFonts w:ascii="Times New Roman" w:hAnsi="Times New Roman"/>
          <w:lang w:val="en-US"/>
        </w:rPr>
      </w:pPr>
      <w:r w:rsidRPr="00FC6472">
        <w:rPr>
          <w:rFonts w:ascii="Times New Roman" w:hAnsi="Times New Roman"/>
          <w:lang w:val="en-US"/>
        </w:rPr>
        <w:tab/>
      </w:r>
      <w:r w:rsidRPr="00FC6472">
        <w:rPr>
          <w:rFonts w:ascii="Times New Roman" w:hAnsi="Times New Roman"/>
          <w:lang w:val="en-US"/>
        </w:rPr>
        <w:tab/>
      </w:r>
      <w:r w:rsidRPr="00FC6472">
        <w:rPr>
          <w:rFonts w:ascii="Times New Roman" w:hAnsi="Times New Roman"/>
          <w:lang w:val="en-US"/>
        </w:rPr>
        <w:tab/>
      </w:r>
      <w:r w:rsidRPr="00FC6472">
        <w:rPr>
          <w:rFonts w:ascii="Times New Roman" w:hAnsi="Times New Roman"/>
          <w:lang w:val="en-US"/>
        </w:rPr>
        <w:tab/>
      </w:r>
      <w:r w:rsidRPr="00FC6472">
        <w:rPr>
          <w:rFonts w:ascii="Times New Roman" w:hAnsi="Times New Roman"/>
          <w:lang w:val="en-US"/>
        </w:rPr>
        <w:tab/>
      </w:r>
      <w:r w:rsidRPr="00FC6472">
        <w:rPr>
          <w:rFonts w:ascii="Times New Roman" w:hAnsi="Times New Roman"/>
          <w:lang w:val="en-US"/>
        </w:rPr>
        <w:tab/>
      </w:r>
      <w:r w:rsidRPr="00FC6472">
        <w:rPr>
          <w:rFonts w:ascii="Times New Roman" w:hAnsi="Times New Roman"/>
          <w:lang w:val="en-US"/>
        </w:rPr>
        <w:tab/>
      </w:r>
      <w:r w:rsidRPr="00FC6472">
        <w:rPr>
          <w:rFonts w:ascii="Times New Roman" w:hAnsi="Times New Roman"/>
          <w:lang w:val="en-US"/>
        </w:rPr>
        <w:tab/>
      </w:r>
      <w:r w:rsidRPr="00FC6472">
        <w:rPr>
          <w:rFonts w:ascii="Times New Roman" w:hAnsi="Times New Roman"/>
          <w:lang w:val="en-US"/>
        </w:rPr>
        <w:tab/>
      </w:r>
    </w:p>
    <w:p w14:paraId="49327630" w14:textId="72563E03" w:rsidR="00DD21AD" w:rsidRPr="002072AB" w:rsidRDefault="00F0299E" w:rsidP="00A50447">
      <w:pPr>
        <w:jc w:val="both"/>
        <w:rPr>
          <w:rFonts w:ascii="Times New Roman" w:hAnsi="Times New Roman"/>
          <w:lang w:val="en-US"/>
        </w:rPr>
      </w:pPr>
      <w:r>
        <w:rPr>
          <w:rFonts w:ascii="Times New Roman" w:hAnsi="Times New Roman"/>
          <w:lang w:val="en-US"/>
        </w:rPr>
        <w:lastRenderedPageBreak/>
        <w:t xml:space="preserve">Faced with this ongoing blockade, a round of intersessional work took place between COP </w:t>
      </w:r>
      <w:r w:rsidR="003B0E00">
        <w:rPr>
          <w:rFonts w:ascii="Times New Roman" w:hAnsi="Times New Roman"/>
          <w:lang w:val="en-US"/>
        </w:rPr>
        <w:t>7</w:t>
      </w:r>
      <w:r w:rsidR="00F13865">
        <w:rPr>
          <w:rFonts w:ascii="Times New Roman" w:hAnsi="Times New Roman"/>
          <w:lang w:val="en-US"/>
        </w:rPr>
        <w:t xml:space="preserve"> </w:t>
      </w:r>
      <w:r>
        <w:rPr>
          <w:rFonts w:ascii="Times New Roman" w:hAnsi="Times New Roman"/>
          <w:lang w:val="en-US"/>
        </w:rPr>
        <w:t xml:space="preserve">and COP </w:t>
      </w:r>
      <w:r w:rsidR="003B0E00">
        <w:rPr>
          <w:rFonts w:ascii="Times New Roman" w:hAnsi="Times New Roman"/>
          <w:lang w:val="en-US"/>
        </w:rPr>
        <w:t>8</w:t>
      </w:r>
      <w:r>
        <w:rPr>
          <w:rFonts w:ascii="Times New Roman" w:hAnsi="Times New Roman"/>
          <w:lang w:val="en-US"/>
        </w:rPr>
        <w:t xml:space="preserve">, focusing on </w:t>
      </w:r>
      <w:r w:rsidR="00FC6472" w:rsidRPr="00FC6472">
        <w:rPr>
          <w:rFonts w:ascii="Times New Roman" w:hAnsi="Times New Roman"/>
          <w:lang w:val="en-US"/>
        </w:rPr>
        <w:t>the effectiveness of the Rotterdam Convention and the listing of chemicals</w:t>
      </w:r>
      <w:r>
        <w:rPr>
          <w:rFonts w:ascii="Times New Roman" w:hAnsi="Times New Roman"/>
          <w:lang w:val="en-US"/>
        </w:rPr>
        <w:t xml:space="preserve">. During </w:t>
      </w:r>
      <w:r w:rsidR="00E76965">
        <w:rPr>
          <w:rFonts w:ascii="Times New Roman" w:hAnsi="Times New Roman"/>
          <w:lang w:val="en-US"/>
        </w:rPr>
        <w:t>these intersessional discussions</w:t>
      </w:r>
      <w:r>
        <w:rPr>
          <w:rFonts w:ascii="Times New Roman" w:hAnsi="Times New Roman"/>
          <w:lang w:val="en-US"/>
        </w:rPr>
        <w:t xml:space="preserve">, </w:t>
      </w:r>
      <w:r w:rsidR="00523811">
        <w:rPr>
          <w:rFonts w:ascii="Times New Roman" w:hAnsi="Times New Roman"/>
          <w:lang w:val="en-US"/>
        </w:rPr>
        <w:t xml:space="preserve">the Parties attempted to </w:t>
      </w:r>
      <w:r w:rsidR="00FC6472" w:rsidRPr="00FC6472">
        <w:rPr>
          <w:rFonts w:ascii="Times New Roman" w:hAnsi="Times New Roman"/>
          <w:lang w:val="en-US"/>
        </w:rPr>
        <w:t xml:space="preserve">‘take a step back’ from the discussions surrounding individual chemicals and consider options to improve the listing procedure as a whole and </w:t>
      </w:r>
      <w:r>
        <w:rPr>
          <w:rFonts w:ascii="Times New Roman" w:hAnsi="Times New Roman"/>
          <w:lang w:val="en-US"/>
        </w:rPr>
        <w:t xml:space="preserve">generally </w:t>
      </w:r>
      <w:r w:rsidR="00FC6472" w:rsidRPr="00FC6472">
        <w:rPr>
          <w:rFonts w:ascii="Times New Roman" w:hAnsi="Times New Roman"/>
          <w:lang w:val="en-US"/>
        </w:rPr>
        <w:t xml:space="preserve">enhance the </w:t>
      </w:r>
      <w:r>
        <w:rPr>
          <w:rFonts w:ascii="Times New Roman" w:hAnsi="Times New Roman"/>
          <w:lang w:val="en-US"/>
        </w:rPr>
        <w:t xml:space="preserve">effectiveness of the </w:t>
      </w:r>
      <w:r w:rsidR="00FC6472" w:rsidRPr="00FC6472">
        <w:rPr>
          <w:rFonts w:ascii="Times New Roman" w:hAnsi="Times New Roman"/>
          <w:lang w:val="en-US"/>
        </w:rPr>
        <w:t>Convention.</w:t>
      </w:r>
    </w:p>
    <w:p w14:paraId="2FECF74A" w14:textId="77777777" w:rsidR="007913EE" w:rsidRPr="002072AB" w:rsidRDefault="007913EE">
      <w:pPr>
        <w:jc w:val="both"/>
        <w:rPr>
          <w:rFonts w:ascii="Times New Roman" w:eastAsia="Calibri" w:hAnsi="Times New Roman" w:cs="Times"/>
          <w:szCs w:val="22"/>
          <w:lang w:val="en-US" w:eastAsia="en-US"/>
        </w:rPr>
      </w:pPr>
    </w:p>
    <w:p w14:paraId="30D7A248" w14:textId="41C567ED" w:rsidR="007913EE" w:rsidRPr="002072AB" w:rsidRDefault="00FC6472">
      <w:pPr>
        <w:jc w:val="both"/>
        <w:rPr>
          <w:rFonts w:ascii="Times New Roman" w:hAnsi="Times New Roman"/>
          <w:lang w:val="en-US"/>
        </w:rPr>
      </w:pPr>
      <w:r w:rsidRPr="00FC6472">
        <w:rPr>
          <w:rFonts w:ascii="Times New Roman" w:hAnsi="Times New Roman"/>
          <w:lang w:val="en-US"/>
        </w:rPr>
        <w:t xml:space="preserve">Despite proposals made by a large group of African </w:t>
      </w:r>
      <w:r w:rsidR="00034FDB">
        <w:rPr>
          <w:rFonts w:ascii="Times New Roman" w:hAnsi="Times New Roman"/>
          <w:lang w:val="en-US"/>
        </w:rPr>
        <w:t>c</w:t>
      </w:r>
      <w:r w:rsidRPr="00FC6472">
        <w:rPr>
          <w:rFonts w:ascii="Times New Roman" w:hAnsi="Times New Roman"/>
          <w:lang w:val="en-US"/>
        </w:rPr>
        <w:t xml:space="preserve">ountries and discussions in a closed informal group, the paralysis persisted </w:t>
      </w:r>
      <w:r w:rsidR="00523811">
        <w:rPr>
          <w:rFonts w:ascii="Times New Roman" w:hAnsi="Times New Roman"/>
          <w:lang w:val="en-US"/>
        </w:rPr>
        <w:t xml:space="preserve">at </w:t>
      </w:r>
      <w:r w:rsidRPr="00FC6472">
        <w:rPr>
          <w:rFonts w:ascii="Times New Roman" w:hAnsi="Times New Roman"/>
          <w:lang w:val="en-US"/>
        </w:rPr>
        <w:t>COP</w:t>
      </w:r>
      <w:r w:rsidR="00523811">
        <w:rPr>
          <w:rFonts w:ascii="Times New Roman" w:hAnsi="Times New Roman"/>
          <w:lang w:val="en-US"/>
        </w:rPr>
        <w:t xml:space="preserve"> 8</w:t>
      </w:r>
      <w:r w:rsidR="009B490C">
        <w:rPr>
          <w:rFonts w:ascii="Times New Roman" w:hAnsi="Times New Roman"/>
          <w:lang w:val="en-US"/>
        </w:rPr>
        <w:t>.</w:t>
      </w:r>
      <w:r w:rsidRPr="00FC6472">
        <w:rPr>
          <w:rFonts w:ascii="Times New Roman" w:hAnsi="Times New Roman"/>
          <w:lang w:val="en-US"/>
        </w:rPr>
        <w:t xml:space="preserve"> </w:t>
      </w:r>
      <w:r w:rsidR="00523811">
        <w:rPr>
          <w:rFonts w:ascii="Times New Roman" w:hAnsi="Times New Roman"/>
          <w:lang w:val="en-US"/>
        </w:rPr>
        <w:t>The Parties</w:t>
      </w:r>
      <w:r w:rsidRPr="00FC6472">
        <w:rPr>
          <w:rFonts w:ascii="Times New Roman" w:hAnsi="Times New Roman"/>
          <w:lang w:val="en-US"/>
        </w:rPr>
        <w:t xml:space="preserve"> </w:t>
      </w:r>
      <w:r w:rsidR="00523811">
        <w:rPr>
          <w:rFonts w:ascii="Times New Roman" w:hAnsi="Times New Roman"/>
          <w:lang w:val="en-US"/>
        </w:rPr>
        <w:t xml:space="preserve">thus </w:t>
      </w:r>
      <w:r w:rsidRPr="00FC6472">
        <w:rPr>
          <w:rFonts w:ascii="Times New Roman" w:hAnsi="Times New Roman"/>
          <w:lang w:val="en-US"/>
        </w:rPr>
        <w:t xml:space="preserve">decided to establish another intersessional working group, with the mandate to proceed with </w:t>
      </w:r>
      <w:r w:rsidR="00794C75">
        <w:rPr>
          <w:rFonts w:ascii="Times New Roman" w:hAnsi="Times New Roman"/>
          <w:lang w:val="en-US"/>
        </w:rPr>
        <w:t xml:space="preserve">the </w:t>
      </w:r>
      <w:r w:rsidRPr="00FC6472">
        <w:rPr>
          <w:rFonts w:ascii="Times New Roman" w:hAnsi="Times New Roman"/>
          <w:lang w:val="en-US"/>
        </w:rPr>
        <w:t xml:space="preserve">work on the enhancement of the effectiveness of the Convention during the </w:t>
      </w:r>
      <w:r w:rsidR="00E76965">
        <w:rPr>
          <w:rFonts w:ascii="Times New Roman" w:hAnsi="Times New Roman"/>
          <w:lang w:val="en-US"/>
        </w:rPr>
        <w:t xml:space="preserve">current </w:t>
      </w:r>
      <w:r w:rsidRPr="00FC6472">
        <w:rPr>
          <w:rFonts w:ascii="Times New Roman" w:hAnsi="Times New Roman"/>
          <w:lang w:val="en-US"/>
        </w:rPr>
        <w:t>intersessional period</w:t>
      </w:r>
      <w:r w:rsidR="00E76965">
        <w:rPr>
          <w:rFonts w:ascii="Times New Roman" w:hAnsi="Times New Roman"/>
          <w:lang w:val="en-US"/>
        </w:rPr>
        <w:t xml:space="preserve"> (May 2017 to April 2019)</w:t>
      </w:r>
      <w:r w:rsidRPr="00FC6472">
        <w:rPr>
          <w:rFonts w:ascii="Times New Roman" w:hAnsi="Times New Roman"/>
          <w:lang w:val="en-US"/>
        </w:rPr>
        <w:t>.</w:t>
      </w:r>
      <w:r w:rsidR="007447DB">
        <w:rPr>
          <w:rFonts w:ascii="Times New Roman" w:hAnsi="Times New Roman"/>
          <w:lang w:val="en-US"/>
        </w:rPr>
        <w:t xml:space="preserve"> </w:t>
      </w:r>
    </w:p>
    <w:p w14:paraId="5B797A2C" w14:textId="77777777" w:rsidR="007913EE" w:rsidRPr="002072AB" w:rsidRDefault="007913EE">
      <w:pPr>
        <w:jc w:val="both"/>
        <w:rPr>
          <w:rFonts w:ascii="Times New Roman" w:hAnsi="Times New Roman"/>
          <w:lang w:val="en-US"/>
        </w:rPr>
      </w:pPr>
    </w:p>
    <w:p w14:paraId="5E50D7E7" w14:textId="24A887C2" w:rsidR="007913EE" w:rsidRPr="002072AB" w:rsidRDefault="00C82909">
      <w:pPr>
        <w:jc w:val="both"/>
        <w:rPr>
          <w:rFonts w:ascii="Times New Roman" w:hAnsi="Times New Roman"/>
          <w:lang w:val="en-US"/>
        </w:rPr>
      </w:pPr>
      <w:r>
        <w:rPr>
          <w:rFonts w:ascii="Times New Roman" w:hAnsi="Times New Roman"/>
          <w:lang w:val="en-US"/>
        </w:rPr>
        <w:t xml:space="preserve">During </w:t>
      </w:r>
      <w:r w:rsidR="007F5173">
        <w:rPr>
          <w:rFonts w:ascii="Times New Roman" w:hAnsi="Times New Roman"/>
          <w:lang w:val="en-US"/>
        </w:rPr>
        <w:t>a</w:t>
      </w:r>
      <w:r w:rsidR="007F5173" w:rsidRPr="00FC6472">
        <w:rPr>
          <w:rFonts w:ascii="Times New Roman" w:hAnsi="Times New Roman"/>
          <w:lang w:val="en-US"/>
        </w:rPr>
        <w:t xml:space="preserve"> </w:t>
      </w:r>
      <w:r w:rsidR="00FC6472" w:rsidRPr="00FC6472">
        <w:rPr>
          <w:rFonts w:ascii="Times New Roman" w:hAnsi="Times New Roman"/>
          <w:lang w:val="en-US"/>
        </w:rPr>
        <w:t xml:space="preserve">July 2016 intersessional workshop </w:t>
      </w:r>
      <w:r w:rsidR="00472428">
        <w:rPr>
          <w:rFonts w:ascii="Times New Roman" w:hAnsi="Times New Roman"/>
          <w:lang w:val="en-US"/>
        </w:rPr>
        <w:t xml:space="preserve">focusing on enhancing the effectiveness of the Convention, </w:t>
      </w:r>
      <w:r w:rsidR="00FC6472" w:rsidRPr="00FC6472">
        <w:rPr>
          <w:rFonts w:ascii="Times New Roman" w:hAnsi="Times New Roman"/>
          <w:lang w:val="en-US"/>
        </w:rPr>
        <w:t xml:space="preserve">in Riga, </w:t>
      </w:r>
      <w:r w:rsidR="00523811">
        <w:rPr>
          <w:rFonts w:ascii="Times New Roman" w:hAnsi="Times New Roman"/>
          <w:lang w:val="en-US"/>
        </w:rPr>
        <w:t xml:space="preserve">the Parties discussed </w:t>
      </w:r>
      <w:r w:rsidR="00FC6472" w:rsidRPr="00FC6472">
        <w:rPr>
          <w:rFonts w:ascii="Times New Roman" w:hAnsi="Times New Roman"/>
          <w:lang w:val="en-US"/>
        </w:rPr>
        <w:t>a thought</w:t>
      </w:r>
      <w:r w:rsidR="00794C75">
        <w:rPr>
          <w:rFonts w:ascii="Times New Roman" w:hAnsi="Times New Roman"/>
          <w:lang w:val="en-US"/>
        </w:rPr>
        <w:t>-</w:t>
      </w:r>
      <w:r w:rsidR="00FC6472" w:rsidRPr="00FC6472">
        <w:rPr>
          <w:rFonts w:ascii="Times New Roman" w:hAnsi="Times New Roman"/>
          <w:lang w:val="en-US"/>
        </w:rPr>
        <w:t xml:space="preserve">starter document </w:t>
      </w:r>
      <w:r w:rsidR="007F5173" w:rsidRPr="00FC6472">
        <w:rPr>
          <w:rFonts w:ascii="Times New Roman" w:hAnsi="Times New Roman"/>
          <w:lang w:val="en-US"/>
        </w:rPr>
        <w:t>on the issue</w:t>
      </w:r>
      <w:r w:rsidR="007F5173">
        <w:rPr>
          <w:rFonts w:ascii="Times New Roman" w:hAnsi="Times New Roman"/>
          <w:lang w:val="en-US"/>
        </w:rPr>
        <w:t>,</w:t>
      </w:r>
      <w:r w:rsidR="007F5173" w:rsidRPr="00FC6472">
        <w:rPr>
          <w:rFonts w:ascii="Times New Roman" w:hAnsi="Times New Roman"/>
          <w:lang w:val="en-US"/>
        </w:rPr>
        <w:t xml:space="preserve"> </w:t>
      </w:r>
      <w:r w:rsidR="00FC6472" w:rsidRPr="00FC6472">
        <w:rPr>
          <w:rFonts w:ascii="Times New Roman" w:hAnsi="Times New Roman"/>
          <w:lang w:val="en-US"/>
        </w:rPr>
        <w:t>drafted by Australia</w:t>
      </w:r>
      <w:r w:rsidR="00440816">
        <w:rPr>
          <w:rFonts w:ascii="Times New Roman" w:hAnsi="Times New Roman"/>
          <w:lang w:val="en-US"/>
        </w:rPr>
        <w:t>.</w:t>
      </w:r>
      <w:r w:rsidR="00FC6472" w:rsidRPr="00FC6472">
        <w:rPr>
          <w:rStyle w:val="Marquenotebasdepage"/>
          <w:rFonts w:ascii="Times New Roman" w:hAnsi="Times New Roman"/>
          <w:lang w:val="en-US"/>
        </w:rPr>
        <w:footnoteReference w:id="5"/>
      </w:r>
      <w:r w:rsidR="00FC6472" w:rsidRPr="00FC6472">
        <w:rPr>
          <w:rFonts w:ascii="Times New Roman" w:hAnsi="Times New Roman"/>
          <w:lang w:val="en-US"/>
        </w:rPr>
        <w:t xml:space="preserve">  The document presented three broad options to enhance the effectiveness of the Rotterdam Convention:</w:t>
      </w:r>
    </w:p>
    <w:p w14:paraId="5E77A4AA" w14:textId="77777777" w:rsidR="007913EE" w:rsidRPr="002072AB" w:rsidRDefault="007913EE">
      <w:pPr>
        <w:jc w:val="both"/>
        <w:rPr>
          <w:rFonts w:ascii="Times New Roman" w:hAnsi="Times New Roman"/>
          <w:lang w:val="en-US"/>
        </w:rPr>
      </w:pPr>
    </w:p>
    <w:p w14:paraId="2EF4EF3E" w14:textId="4F509502" w:rsidR="00167289" w:rsidRPr="002072AB" w:rsidRDefault="0010209B" w:rsidP="00A50447">
      <w:pPr>
        <w:pStyle w:val="Listenumros"/>
        <w:numPr>
          <w:ilvl w:val="0"/>
          <w:numId w:val="5"/>
        </w:numPr>
        <w:spacing w:after="0"/>
        <w:jc w:val="both"/>
        <w:rPr>
          <w:rFonts w:ascii="Times New Roman" w:hAnsi="Times New Roman"/>
          <w:sz w:val="24"/>
          <w:lang w:val="en-US"/>
        </w:rPr>
      </w:pPr>
      <w:r w:rsidRPr="002072AB">
        <w:rPr>
          <w:rFonts w:ascii="Times New Roman" w:hAnsi="Times New Roman"/>
          <w:sz w:val="24"/>
          <w:lang w:val="en-US"/>
        </w:rPr>
        <w:t xml:space="preserve">Amending the procedure </w:t>
      </w:r>
      <w:r w:rsidR="001D2B5D">
        <w:rPr>
          <w:rFonts w:ascii="Times New Roman" w:hAnsi="Times New Roman"/>
          <w:sz w:val="24"/>
          <w:lang w:val="en-US"/>
        </w:rPr>
        <w:t xml:space="preserve">of Article 22.5 </w:t>
      </w:r>
      <w:r w:rsidRPr="002072AB">
        <w:rPr>
          <w:rFonts w:ascii="Times New Roman" w:hAnsi="Times New Roman"/>
          <w:sz w:val="24"/>
          <w:lang w:val="en-US"/>
        </w:rPr>
        <w:t xml:space="preserve">for the </w:t>
      </w:r>
      <w:r w:rsidR="00472428">
        <w:rPr>
          <w:rFonts w:ascii="Times New Roman" w:hAnsi="Times New Roman"/>
          <w:sz w:val="24"/>
          <w:lang w:val="en-US"/>
        </w:rPr>
        <w:t xml:space="preserve">listing </w:t>
      </w:r>
      <w:r w:rsidR="00D4193A">
        <w:rPr>
          <w:rFonts w:ascii="Times New Roman" w:hAnsi="Times New Roman"/>
          <w:sz w:val="24"/>
          <w:lang w:val="en-US"/>
        </w:rPr>
        <w:t xml:space="preserve">of </w:t>
      </w:r>
      <w:r w:rsidR="00472428">
        <w:rPr>
          <w:rFonts w:ascii="Times New Roman" w:hAnsi="Times New Roman"/>
          <w:sz w:val="24"/>
          <w:lang w:val="en-US"/>
        </w:rPr>
        <w:t xml:space="preserve">a chemical </w:t>
      </w:r>
      <w:r w:rsidR="00E52922">
        <w:rPr>
          <w:rFonts w:ascii="Times New Roman" w:hAnsi="Times New Roman"/>
          <w:sz w:val="24"/>
          <w:lang w:val="en-US"/>
        </w:rPr>
        <w:t>in</w:t>
      </w:r>
      <w:r w:rsidRPr="002072AB">
        <w:rPr>
          <w:rFonts w:ascii="Times New Roman" w:hAnsi="Times New Roman"/>
          <w:sz w:val="24"/>
          <w:lang w:val="en-US"/>
        </w:rPr>
        <w:t xml:space="preserve"> Annex III;</w:t>
      </w:r>
      <w:r w:rsidR="00354C6E">
        <w:rPr>
          <w:rFonts w:ascii="Times New Roman" w:hAnsi="Times New Roman"/>
          <w:sz w:val="24"/>
          <w:lang w:val="en-US"/>
        </w:rPr>
        <w:t xml:space="preserve"> </w:t>
      </w:r>
    </w:p>
    <w:p w14:paraId="058ADD11" w14:textId="028C85FC" w:rsidR="000877D6" w:rsidRPr="002072AB" w:rsidRDefault="009219B4" w:rsidP="00A50447">
      <w:pPr>
        <w:pStyle w:val="Listenumros"/>
        <w:numPr>
          <w:ilvl w:val="0"/>
          <w:numId w:val="5"/>
        </w:numPr>
        <w:spacing w:after="0"/>
        <w:jc w:val="both"/>
        <w:rPr>
          <w:rFonts w:ascii="Times New Roman" w:hAnsi="Times New Roman"/>
          <w:sz w:val="24"/>
          <w:lang w:val="en-US"/>
        </w:rPr>
      </w:pPr>
      <w:r>
        <w:rPr>
          <w:rFonts w:ascii="Times New Roman" w:hAnsi="Times New Roman"/>
          <w:sz w:val="24"/>
          <w:lang w:val="en-US"/>
        </w:rPr>
        <w:t>C</w:t>
      </w:r>
      <w:r w:rsidR="00FC6472" w:rsidRPr="00FC6472">
        <w:rPr>
          <w:rFonts w:ascii="Times New Roman" w:hAnsi="Times New Roman"/>
          <w:sz w:val="24"/>
          <w:lang w:val="en-US"/>
        </w:rPr>
        <w:t>reat</w:t>
      </w:r>
      <w:r>
        <w:rPr>
          <w:rFonts w:ascii="Times New Roman" w:hAnsi="Times New Roman"/>
          <w:sz w:val="24"/>
          <w:lang w:val="en-US"/>
        </w:rPr>
        <w:t>ing</w:t>
      </w:r>
      <w:r w:rsidR="00FC6472" w:rsidRPr="00FC6472">
        <w:rPr>
          <w:rFonts w:ascii="Times New Roman" w:hAnsi="Times New Roman"/>
          <w:sz w:val="24"/>
          <w:lang w:val="en-US"/>
        </w:rPr>
        <w:t xml:space="preserve"> a new annex for chemicals </w:t>
      </w:r>
      <w:r>
        <w:rPr>
          <w:rFonts w:ascii="Times New Roman" w:hAnsi="Times New Roman"/>
          <w:sz w:val="24"/>
          <w:lang w:val="en-US"/>
        </w:rPr>
        <w:t>for</w:t>
      </w:r>
      <w:r w:rsidR="00FC6472" w:rsidRPr="00FC6472">
        <w:rPr>
          <w:rFonts w:ascii="Times New Roman" w:hAnsi="Times New Roman"/>
          <w:sz w:val="24"/>
          <w:lang w:val="en-US"/>
        </w:rPr>
        <w:t xml:space="preserve"> which no consensus can be reached regarding listing in Annex III;</w:t>
      </w:r>
      <w:r w:rsidR="00354C6E">
        <w:rPr>
          <w:rFonts w:ascii="Times New Roman" w:hAnsi="Times New Roman"/>
          <w:sz w:val="24"/>
          <w:lang w:val="en-US"/>
        </w:rPr>
        <w:t xml:space="preserve"> </w:t>
      </w:r>
    </w:p>
    <w:p w14:paraId="3B4F89DA" w14:textId="63FCB464" w:rsidR="000877D6" w:rsidRPr="002072AB" w:rsidRDefault="00FC6472" w:rsidP="00A50447">
      <w:pPr>
        <w:pStyle w:val="Listenumros"/>
        <w:numPr>
          <w:ilvl w:val="0"/>
          <w:numId w:val="5"/>
        </w:numPr>
        <w:spacing w:after="0"/>
        <w:jc w:val="both"/>
        <w:rPr>
          <w:rFonts w:ascii="Times New Roman" w:hAnsi="Times New Roman"/>
          <w:sz w:val="24"/>
          <w:lang w:val="en-US"/>
        </w:rPr>
      </w:pPr>
      <w:r w:rsidRPr="00FC6472">
        <w:rPr>
          <w:rFonts w:ascii="Times New Roman" w:hAnsi="Times New Roman"/>
          <w:sz w:val="24"/>
          <w:lang w:val="en-US"/>
        </w:rPr>
        <w:t>Increasing information exchange through the Secretariat.</w:t>
      </w:r>
      <w:r w:rsidR="00354C6E">
        <w:rPr>
          <w:rFonts w:ascii="Times New Roman" w:hAnsi="Times New Roman"/>
          <w:sz w:val="24"/>
          <w:lang w:val="en-US"/>
        </w:rPr>
        <w:t xml:space="preserve"> </w:t>
      </w:r>
    </w:p>
    <w:p w14:paraId="3B29C13F" w14:textId="77777777" w:rsidR="007E0A80" w:rsidRPr="002072AB" w:rsidDel="001C1170" w:rsidRDefault="007E0A80" w:rsidP="00A50447">
      <w:pPr>
        <w:jc w:val="both"/>
        <w:rPr>
          <w:rFonts w:ascii="Times New Roman" w:hAnsi="Times New Roman"/>
          <w:lang w:val="en-US"/>
        </w:rPr>
      </w:pPr>
    </w:p>
    <w:p w14:paraId="4BE7622E" w14:textId="27C35602" w:rsidR="007913EE" w:rsidRPr="002072AB" w:rsidRDefault="00794C75" w:rsidP="007913EE">
      <w:pPr>
        <w:jc w:val="both"/>
        <w:rPr>
          <w:rFonts w:ascii="Times New Roman" w:hAnsi="Times New Roman"/>
          <w:lang w:val="en-US"/>
        </w:rPr>
      </w:pPr>
      <w:r>
        <w:rPr>
          <w:rFonts w:ascii="Times New Roman" w:hAnsi="Times New Roman"/>
          <w:lang w:val="en-US"/>
        </w:rPr>
        <w:t>To</w:t>
      </w:r>
      <w:r w:rsidR="000127D7">
        <w:rPr>
          <w:rFonts w:ascii="Times New Roman" w:hAnsi="Times New Roman"/>
          <w:lang w:val="en-US"/>
        </w:rPr>
        <w:t xml:space="preserve"> facilitate the </w:t>
      </w:r>
      <w:r>
        <w:rPr>
          <w:rFonts w:ascii="Times New Roman" w:hAnsi="Times New Roman"/>
          <w:lang w:val="en-US"/>
        </w:rPr>
        <w:t xml:space="preserve">consideration </w:t>
      </w:r>
      <w:r w:rsidR="000127D7">
        <w:rPr>
          <w:rFonts w:ascii="Times New Roman" w:hAnsi="Times New Roman"/>
          <w:lang w:val="en-US"/>
        </w:rPr>
        <w:t>of these options, t</w:t>
      </w:r>
      <w:r w:rsidR="00FC6472" w:rsidRPr="00FC6472">
        <w:rPr>
          <w:rFonts w:ascii="Times New Roman" w:hAnsi="Times New Roman"/>
          <w:lang w:val="en-US"/>
        </w:rPr>
        <w:t>h</w:t>
      </w:r>
      <w:r>
        <w:rPr>
          <w:rFonts w:ascii="Times New Roman" w:hAnsi="Times New Roman"/>
          <w:lang w:val="en-US"/>
        </w:rPr>
        <w:t>e</w:t>
      </w:r>
      <w:r w:rsidR="00D46E82">
        <w:rPr>
          <w:rFonts w:ascii="Times New Roman" w:hAnsi="Times New Roman"/>
          <w:lang w:val="en-US"/>
        </w:rPr>
        <w:t xml:space="preserve"> paper </w:t>
      </w:r>
      <w:r w:rsidR="000127D7">
        <w:rPr>
          <w:rFonts w:ascii="Times New Roman" w:hAnsi="Times New Roman"/>
          <w:lang w:val="en-US"/>
        </w:rPr>
        <w:t>describes</w:t>
      </w:r>
      <w:r w:rsidR="00D46E82">
        <w:rPr>
          <w:rFonts w:ascii="Times New Roman" w:hAnsi="Times New Roman"/>
          <w:lang w:val="en-US"/>
        </w:rPr>
        <w:t xml:space="preserve"> the process for </w:t>
      </w:r>
      <w:r w:rsidR="00591106">
        <w:rPr>
          <w:rFonts w:ascii="Times New Roman" w:hAnsi="Times New Roman"/>
          <w:lang w:val="en-US"/>
        </w:rPr>
        <w:t xml:space="preserve">adopting </w:t>
      </w:r>
      <w:r w:rsidR="000127D7">
        <w:rPr>
          <w:rFonts w:ascii="Times New Roman" w:hAnsi="Times New Roman"/>
          <w:lang w:val="en-US"/>
        </w:rPr>
        <w:t>each</w:t>
      </w:r>
      <w:r w:rsidR="004475FC">
        <w:rPr>
          <w:rFonts w:ascii="Times New Roman" w:hAnsi="Times New Roman"/>
          <w:lang w:val="en-US"/>
        </w:rPr>
        <w:t xml:space="preserve"> </w:t>
      </w:r>
      <w:r w:rsidR="00D46E82">
        <w:rPr>
          <w:rFonts w:ascii="Times New Roman" w:hAnsi="Times New Roman"/>
          <w:lang w:val="en-US"/>
        </w:rPr>
        <w:t>option</w:t>
      </w:r>
      <w:r w:rsidR="000127D7">
        <w:rPr>
          <w:rFonts w:ascii="Times New Roman" w:hAnsi="Times New Roman"/>
          <w:lang w:val="en-US"/>
        </w:rPr>
        <w:t xml:space="preserve">, focusing on the changes to the Convention that would be required, the steps that would be necessary to make these changes, and the resulting obligations of the Parties once these changes </w:t>
      </w:r>
      <w:r>
        <w:rPr>
          <w:rFonts w:ascii="Times New Roman" w:hAnsi="Times New Roman"/>
          <w:lang w:val="en-US"/>
        </w:rPr>
        <w:t xml:space="preserve">are </w:t>
      </w:r>
      <w:r w:rsidR="000127D7">
        <w:rPr>
          <w:rFonts w:ascii="Times New Roman" w:hAnsi="Times New Roman"/>
          <w:lang w:val="en-US"/>
        </w:rPr>
        <w:t xml:space="preserve">made. </w:t>
      </w:r>
    </w:p>
    <w:p w14:paraId="06AE65D1" w14:textId="77777777" w:rsidR="009F0C79" w:rsidRDefault="009F0C79" w:rsidP="00892D6F">
      <w:pPr>
        <w:jc w:val="both"/>
        <w:rPr>
          <w:rFonts w:ascii="Times New Roman" w:hAnsi="Times New Roman"/>
          <w:lang w:val="en-US"/>
        </w:rPr>
      </w:pPr>
    </w:p>
    <w:p w14:paraId="6B84B400" w14:textId="74E808C6" w:rsidR="00892D6F" w:rsidRPr="004305A9" w:rsidRDefault="00892D6F" w:rsidP="00892D6F">
      <w:pPr>
        <w:jc w:val="both"/>
        <w:rPr>
          <w:rFonts w:ascii="Times New Roman" w:hAnsi="Times New Roman"/>
          <w:lang w:val="en-US"/>
        </w:rPr>
      </w:pPr>
      <w:r>
        <w:rPr>
          <w:rFonts w:ascii="Times New Roman" w:hAnsi="Times New Roman"/>
          <w:lang w:val="en-US"/>
        </w:rPr>
        <w:t>Although e</w:t>
      </w:r>
      <w:r w:rsidR="00D57FB3">
        <w:rPr>
          <w:rFonts w:ascii="Times New Roman" w:hAnsi="Times New Roman"/>
          <w:lang w:val="en-US"/>
        </w:rPr>
        <w:t xml:space="preserve">fforts to </w:t>
      </w:r>
      <w:r w:rsidR="00794C75">
        <w:rPr>
          <w:rFonts w:ascii="Times New Roman" w:hAnsi="Times New Roman"/>
          <w:lang w:val="en-US"/>
        </w:rPr>
        <w:t xml:space="preserve">promote </w:t>
      </w:r>
      <w:r w:rsidR="00E5544B">
        <w:rPr>
          <w:rFonts w:ascii="Times New Roman" w:hAnsi="Times New Roman"/>
          <w:lang w:val="en-US"/>
        </w:rPr>
        <w:t>information exchange through the Secretariat</w:t>
      </w:r>
      <w:r w:rsidRPr="004305A9">
        <w:rPr>
          <w:rFonts w:ascii="Times New Roman" w:hAnsi="Times New Roman"/>
          <w:lang w:val="en-US"/>
        </w:rPr>
        <w:t xml:space="preserve"> would certainly be welcome and could be helpful in assisting Parties in managing hazardous pesticides and other chemicals</w:t>
      </w:r>
      <w:r>
        <w:rPr>
          <w:rFonts w:ascii="Times New Roman" w:hAnsi="Times New Roman"/>
          <w:lang w:val="en-US"/>
        </w:rPr>
        <w:t>,</w:t>
      </w:r>
      <w:r w:rsidRPr="00892D6F">
        <w:rPr>
          <w:rFonts w:ascii="Times New Roman" w:hAnsi="Times New Roman"/>
          <w:lang w:val="en-US"/>
        </w:rPr>
        <w:t xml:space="preserve"> </w:t>
      </w:r>
      <w:r w:rsidR="00161236">
        <w:rPr>
          <w:rFonts w:ascii="Times New Roman" w:hAnsi="Times New Roman"/>
          <w:lang w:val="en-US"/>
        </w:rPr>
        <w:t>t</w:t>
      </w:r>
      <w:r w:rsidRPr="004305A9">
        <w:rPr>
          <w:rFonts w:ascii="Times New Roman" w:hAnsi="Times New Roman"/>
          <w:lang w:val="en-US"/>
        </w:rPr>
        <w:t xml:space="preserve">his option </w:t>
      </w:r>
      <w:r w:rsidR="00E5544B">
        <w:rPr>
          <w:rFonts w:ascii="Times New Roman" w:hAnsi="Times New Roman"/>
          <w:lang w:val="en-US"/>
        </w:rPr>
        <w:t>would not</w:t>
      </w:r>
      <w:r w:rsidRPr="004305A9">
        <w:rPr>
          <w:rFonts w:ascii="Times New Roman" w:hAnsi="Times New Roman"/>
          <w:lang w:val="en-US"/>
        </w:rPr>
        <w:t xml:space="preserve"> address the underlying concerns about the efficiency and effectiveness of the Convention</w:t>
      </w:r>
      <w:r w:rsidR="00C82909">
        <w:rPr>
          <w:rFonts w:ascii="Times New Roman" w:hAnsi="Times New Roman"/>
          <w:lang w:val="en-US"/>
        </w:rPr>
        <w:t>.</w:t>
      </w:r>
      <w:r w:rsidRPr="004305A9">
        <w:rPr>
          <w:rStyle w:val="Marquenotebasdepage"/>
          <w:rFonts w:ascii="Times New Roman" w:hAnsi="Times New Roman"/>
          <w:lang w:val="en-US"/>
        </w:rPr>
        <w:footnoteReference w:id="6"/>
      </w:r>
      <w:r w:rsidRPr="004305A9">
        <w:rPr>
          <w:rFonts w:ascii="Times New Roman" w:hAnsi="Times New Roman"/>
          <w:lang w:val="en-US"/>
        </w:rPr>
        <w:t xml:space="preserve"> </w:t>
      </w:r>
      <w:r w:rsidR="00893204">
        <w:rPr>
          <w:rFonts w:ascii="Times New Roman" w:hAnsi="Times New Roman"/>
          <w:lang w:val="en-US"/>
        </w:rPr>
        <w:t>T</w:t>
      </w:r>
      <w:r w:rsidR="00794C75">
        <w:rPr>
          <w:rFonts w:ascii="Times New Roman" w:hAnsi="Times New Roman"/>
          <w:lang w:val="en-US"/>
        </w:rPr>
        <w:t>herefore, t</w:t>
      </w:r>
      <w:r w:rsidR="00893204">
        <w:rPr>
          <w:rFonts w:ascii="Times New Roman" w:hAnsi="Times New Roman"/>
          <w:lang w:val="en-US"/>
        </w:rPr>
        <w:t>his paper does not consider this option</w:t>
      </w:r>
      <w:r w:rsidR="00794C75" w:rsidRPr="00794C75">
        <w:rPr>
          <w:rFonts w:ascii="Times New Roman" w:hAnsi="Times New Roman"/>
          <w:lang w:val="en-US"/>
        </w:rPr>
        <w:t xml:space="preserve"> </w:t>
      </w:r>
      <w:r w:rsidR="00794C75">
        <w:rPr>
          <w:rFonts w:ascii="Times New Roman" w:hAnsi="Times New Roman"/>
          <w:lang w:val="en-US"/>
        </w:rPr>
        <w:t>further</w:t>
      </w:r>
      <w:r w:rsidR="00893204">
        <w:rPr>
          <w:rFonts w:ascii="Times New Roman" w:hAnsi="Times New Roman"/>
          <w:lang w:val="en-US"/>
        </w:rPr>
        <w:t xml:space="preserve">. </w:t>
      </w:r>
    </w:p>
    <w:p w14:paraId="5CFA633A" w14:textId="77777777" w:rsidR="000B67C9" w:rsidRPr="002072AB" w:rsidRDefault="000B67C9" w:rsidP="00A50447">
      <w:pPr>
        <w:pStyle w:val="Listenumros"/>
        <w:spacing w:after="0"/>
        <w:jc w:val="both"/>
        <w:rPr>
          <w:rFonts w:ascii="Times New Roman" w:hAnsi="Times New Roman"/>
          <w:sz w:val="24"/>
          <w:lang w:val="en-US"/>
        </w:rPr>
      </w:pPr>
    </w:p>
    <w:p w14:paraId="1421F1BE" w14:textId="326EC5C8" w:rsidR="0074332F" w:rsidRPr="0074332F" w:rsidRDefault="00990A1E" w:rsidP="00A50447">
      <w:pPr>
        <w:rPr>
          <w:rFonts w:ascii="Times New Roman" w:eastAsia="Calibri" w:hAnsi="Times New Roman" w:cs="Times"/>
          <w:b/>
          <w:szCs w:val="22"/>
          <w:lang w:val="en-US" w:eastAsia="en-US"/>
        </w:rPr>
      </w:pPr>
      <w:r>
        <w:rPr>
          <w:rFonts w:ascii="Times New Roman" w:eastAsia="Calibri" w:hAnsi="Times New Roman" w:cs="Times"/>
          <w:b/>
          <w:szCs w:val="22"/>
          <w:lang w:val="en-US" w:eastAsia="en-US"/>
        </w:rPr>
        <w:t>1</w:t>
      </w:r>
      <w:r w:rsidR="00FC6472" w:rsidRPr="00FC6472">
        <w:rPr>
          <w:rFonts w:ascii="Times New Roman" w:eastAsia="Calibri" w:hAnsi="Times New Roman" w:cs="Times"/>
          <w:b/>
          <w:szCs w:val="22"/>
          <w:lang w:val="en-US" w:eastAsia="en-US"/>
        </w:rPr>
        <w:t xml:space="preserve">. </w:t>
      </w:r>
      <w:r w:rsidR="00B810FB">
        <w:rPr>
          <w:rFonts w:ascii="Times New Roman" w:eastAsia="Calibri" w:hAnsi="Times New Roman" w:cs="Times"/>
          <w:b/>
          <w:szCs w:val="22"/>
          <w:lang w:val="en-US" w:eastAsia="en-US"/>
        </w:rPr>
        <w:t>Under</w:t>
      </w:r>
      <w:r w:rsidR="00FC6472" w:rsidRPr="00FC6472">
        <w:rPr>
          <w:rFonts w:ascii="Times New Roman" w:eastAsia="Calibri" w:hAnsi="Times New Roman" w:cs="Times"/>
          <w:b/>
          <w:szCs w:val="22"/>
          <w:lang w:val="en-US" w:eastAsia="en-US"/>
        </w:rPr>
        <w:t xml:space="preserve"> the Rotterdam Convention</w:t>
      </w:r>
      <w:r w:rsidR="00B810FB">
        <w:rPr>
          <w:rFonts w:ascii="Times New Roman" w:eastAsia="Calibri" w:hAnsi="Times New Roman" w:cs="Times"/>
          <w:b/>
          <w:szCs w:val="22"/>
          <w:lang w:val="en-US" w:eastAsia="en-US"/>
        </w:rPr>
        <w:t>, a new annex would enter into force more easily than a change to the voting procedure for listing substances under Annex III</w:t>
      </w:r>
    </w:p>
    <w:p w14:paraId="7543C842" w14:textId="77777777" w:rsidR="0074332F" w:rsidRPr="002072AB" w:rsidRDefault="0074332F" w:rsidP="00A50447">
      <w:pPr>
        <w:rPr>
          <w:rFonts w:ascii="Times New Roman" w:eastAsia="Calibri" w:hAnsi="Times New Roman" w:cs="Times"/>
          <w:szCs w:val="22"/>
          <w:lang w:val="en-US" w:eastAsia="en-US"/>
        </w:rPr>
      </w:pPr>
    </w:p>
    <w:p w14:paraId="77A872EA" w14:textId="5CDC84D8" w:rsidR="009A6AF3" w:rsidRDefault="005C5FB8" w:rsidP="001F6903">
      <w:pPr>
        <w:jc w:val="both"/>
        <w:rPr>
          <w:rFonts w:ascii="Times New Roman" w:hAnsi="Times New Roman"/>
          <w:lang w:val="en-US"/>
        </w:rPr>
      </w:pPr>
      <w:r>
        <w:rPr>
          <w:rFonts w:ascii="Times New Roman" w:hAnsi="Times New Roman"/>
          <w:lang w:val="en-US"/>
        </w:rPr>
        <w:t xml:space="preserve">The process is the same whether Parties choose to create a new Annex or to amend </w:t>
      </w:r>
      <w:r w:rsidR="004475FC">
        <w:rPr>
          <w:rFonts w:ascii="Times New Roman" w:hAnsi="Times New Roman"/>
          <w:lang w:val="en-US"/>
        </w:rPr>
        <w:t xml:space="preserve">the Convention to </w:t>
      </w:r>
      <w:r w:rsidR="001F6903">
        <w:rPr>
          <w:rFonts w:ascii="Times New Roman" w:hAnsi="Times New Roman"/>
          <w:lang w:val="en-US"/>
        </w:rPr>
        <w:t xml:space="preserve">change the decision-making procedure for listing substances in Annex III. </w:t>
      </w:r>
      <w:r>
        <w:rPr>
          <w:rFonts w:ascii="Times New Roman" w:hAnsi="Times New Roman"/>
          <w:lang w:val="en-US"/>
        </w:rPr>
        <w:t xml:space="preserve">This process </w:t>
      </w:r>
      <w:r w:rsidR="00440816">
        <w:rPr>
          <w:rFonts w:ascii="Times New Roman" w:hAnsi="Times New Roman"/>
          <w:lang w:val="en-US"/>
        </w:rPr>
        <w:t xml:space="preserve">is </w:t>
      </w:r>
      <w:r>
        <w:rPr>
          <w:rFonts w:ascii="Times New Roman" w:hAnsi="Times New Roman"/>
          <w:lang w:val="en-US"/>
        </w:rPr>
        <w:t xml:space="preserve">described </w:t>
      </w:r>
      <w:r w:rsidR="00440816">
        <w:rPr>
          <w:rFonts w:ascii="Times New Roman" w:hAnsi="Times New Roman"/>
          <w:lang w:val="en-US"/>
        </w:rPr>
        <w:t xml:space="preserve">in the provisions of </w:t>
      </w:r>
      <w:r w:rsidR="00440816" w:rsidRPr="00FC6472">
        <w:rPr>
          <w:rFonts w:ascii="Times New Roman" w:hAnsi="Times New Roman"/>
          <w:lang w:val="en-US"/>
        </w:rPr>
        <w:t>Article 21</w:t>
      </w:r>
      <w:r w:rsidR="00440816">
        <w:rPr>
          <w:rFonts w:ascii="Times New Roman" w:hAnsi="Times New Roman"/>
          <w:lang w:val="en-US"/>
        </w:rPr>
        <w:t>.1 to 21.3</w:t>
      </w:r>
      <w:r w:rsidR="00440816" w:rsidRPr="00FC6472">
        <w:rPr>
          <w:rFonts w:ascii="Times New Roman" w:hAnsi="Times New Roman"/>
          <w:lang w:val="en-US"/>
        </w:rPr>
        <w:t xml:space="preserve"> of the Convention</w:t>
      </w:r>
      <w:r w:rsidR="00440816">
        <w:rPr>
          <w:rFonts w:ascii="Times New Roman" w:hAnsi="Times New Roman"/>
          <w:lang w:val="en-US"/>
        </w:rPr>
        <w:t>:</w:t>
      </w:r>
      <w:r w:rsidR="00440816" w:rsidDel="001F6903">
        <w:rPr>
          <w:rFonts w:ascii="Times New Roman" w:hAnsi="Times New Roman"/>
          <w:lang w:val="en-US"/>
        </w:rPr>
        <w:t xml:space="preserve"> </w:t>
      </w:r>
      <w:r w:rsidR="00E0207F">
        <w:rPr>
          <w:rFonts w:ascii="Times New Roman" w:hAnsi="Times New Roman"/>
          <w:lang w:val="en-US"/>
        </w:rPr>
        <w:t>A</w:t>
      </w:r>
      <w:r w:rsidR="0010209B" w:rsidRPr="00354C6E">
        <w:rPr>
          <w:rFonts w:ascii="Times New Roman" w:hAnsi="Times New Roman"/>
          <w:lang w:val="en-US"/>
        </w:rPr>
        <w:t>ny Party to the Convention may propose amendments to the articles of the Convention</w:t>
      </w:r>
      <w:r w:rsidR="001D2B5D">
        <w:rPr>
          <w:rFonts w:ascii="Times New Roman" w:hAnsi="Times New Roman"/>
          <w:lang w:val="en-US"/>
        </w:rPr>
        <w:t xml:space="preserve"> (including the creation of a new annex)</w:t>
      </w:r>
      <w:r w:rsidR="0010209B" w:rsidRPr="00354C6E">
        <w:rPr>
          <w:rFonts w:ascii="Times New Roman" w:hAnsi="Times New Roman"/>
          <w:lang w:val="en-US"/>
        </w:rPr>
        <w:t>,</w:t>
      </w:r>
      <w:r w:rsidR="004F1F32">
        <w:rPr>
          <w:rFonts w:ascii="Times New Roman" w:hAnsi="Times New Roman"/>
          <w:lang w:val="en-US"/>
        </w:rPr>
        <w:t xml:space="preserve"> </w:t>
      </w:r>
      <w:r w:rsidR="00FA1EC5">
        <w:rPr>
          <w:rFonts w:ascii="Times New Roman" w:hAnsi="Times New Roman"/>
          <w:lang w:val="en-US"/>
        </w:rPr>
        <w:t xml:space="preserve">at least six months before the meeting at which it will be proposed for adoption. </w:t>
      </w:r>
      <w:r>
        <w:rPr>
          <w:rFonts w:ascii="Times New Roman" w:hAnsi="Times New Roman"/>
          <w:lang w:val="en-US"/>
        </w:rPr>
        <w:t>A three-fourths majority vote of the Parties present and voting at the COP is required to adopt any</w:t>
      </w:r>
      <w:r w:rsidR="000F7D02">
        <w:rPr>
          <w:rFonts w:ascii="Times New Roman" w:hAnsi="Times New Roman"/>
          <w:lang w:val="en-US"/>
        </w:rPr>
        <w:t xml:space="preserve"> a</w:t>
      </w:r>
      <w:r w:rsidR="00FA1EC5">
        <w:rPr>
          <w:rFonts w:ascii="Times New Roman" w:hAnsi="Times New Roman"/>
          <w:lang w:val="en-US"/>
        </w:rPr>
        <w:t>mendment to the Convention</w:t>
      </w:r>
      <w:r w:rsidR="000F7D02">
        <w:rPr>
          <w:rFonts w:ascii="Times New Roman" w:hAnsi="Times New Roman"/>
          <w:lang w:val="en-US"/>
        </w:rPr>
        <w:t xml:space="preserve">, </w:t>
      </w:r>
      <w:r w:rsidR="00FA1EC5">
        <w:rPr>
          <w:rFonts w:ascii="Times New Roman" w:hAnsi="Times New Roman"/>
          <w:lang w:val="en-US"/>
        </w:rPr>
        <w:t>including the creation of a new annex</w:t>
      </w:r>
      <w:r w:rsidR="0010209B" w:rsidRPr="00354C6E">
        <w:rPr>
          <w:rFonts w:ascii="Times New Roman" w:hAnsi="Times New Roman"/>
          <w:lang w:val="en-US"/>
        </w:rPr>
        <w:t>.</w:t>
      </w:r>
      <w:r w:rsidR="0010209B" w:rsidRPr="00354C6E">
        <w:rPr>
          <w:rStyle w:val="Marquenotebasdepage"/>
          <w:rFonts w:ascii="Times New Roman" w:hAnsi="Times New Roman"/>
          <w:lang w:val="en-US"/>
        </w:rPr>
        <w:footnoteReference w:id="7"/>
      </w:r>
      <w:r w:rsidR="0010209B" w:rsidRPr="00354C6E">
        <w:rPr>
          <w:rFonts w:ascii="Times New Roman" w:hAnsi="Times New Roman"/>
          <w:lang w:val="en-US"/>
        </w:rPr>
        <w:t xml:space="preserve"> </w:t>
      </w:r>
    </w:p>
    <w:p w14:paraId="695555C5" w14:textId="77777777" w:rsidR="00A84B52" w:rsidRDefault="00A84B52">
      <w:pPr>
        <w:jc w:val="both"/>
        <w:rPr>
          <w:rFonts w:ascii="Times New Roman" w:hAnsi="Times New Roman"/>
          <w:lang w:val="en-US"/>
        </w:rPr>
      </w:pPr>
    </w:p>
    <w:p w14:paraId="78467D59" w14:textId="4DB514B1" w:rsidR="00FA1EC5" w:rsidRDefault="00BB3FA2" w:rsidP="00FA1EC5">
      <w:pPr>
        <w:jc w:val="both"/>
        <w:rPr>
          <w:rFonts w:ascii="Times New Roman" w:hAnsi="Times New Roman"/>
          <w:lang w:val="en-US"/>
        </w:rPr>
      </w:pPr>
      <w:r>
        <w:rPr>
          <w:rFonts w:ascii="Times New Roman" w:hAnsi="Times New Roman"/>
          <w:lang w:val="en-US"/>
        </w:rPr>
        <w:t>However, t</w:t>
      </w:r>
      <w:r w:rsidR="00BE256F">
        <w:rPr>
          <w:rFonts w:ascii="Times New Roman" w:hAnsi="Times New Roman"/>
          <w:lang w:val="en-US"/>
        </w:rPr>
        <w:t xml:space="preserve">he </w:t>
      </w:r>
      <w:r w:rsidR="00354C6E">
        <w:rPr>
          <w:rFonts w:ascii="Times New Roman" w:hAnsi="Times New Roman"/>
          <w:lang w:val="en-US"/>
        </w:rPr>
        <w:t xml:space="preserve">process for entry into force following adoption differs </w:t>
      </w:r>
      <w:r w:rsidR="00034FDB">
        <w:rPr>
          <w:rFonts w:ascii="Times New Roman" w:hAnsi="Times New Roman"/>
          <w:lang w:val="en-US"/>
        </w:rPr>
        <w:t xml:space="preserve">for </w:t>
      </w:r>
      <w:r>
        <w:rPr>
          <w:rFonts w:ascii="Times New Roman" w:hAnsi="Times New Roman"/>
          <w:lang w:val="en-US"/>
        </w:rPr>
        <w:t xml:space="preserve">the two </w:t>
      </w:r>
      <w:r w:rsidR="00CB08D6">
        <w:rPr>
          <w:rFonts w:ascii="Times New Roman" w:hAnsi="Times New Roman"/>
          <w:lang w:val="en-US"/>
        </w:rPr>
        <w:t>options</w:t>
      </w:r>
      <w:r>
        <w:rPr>
          <w:rFonts w:ascii="Times New Roman" w:hAnsi="Times New Roman"/>
          <w:lang w:val="en-US"/>
        </w:rPr>
        <w:t>,</w:t>
      </w:r>
      <w:r w:rsidR="00F01435">
        <w:rPr>
          <w:rFonts w:ascii="Times New Roman" w:hAnsi="Times New Roman"/>
          <w:lang w:val="en-US"/>
        </w:rPr>
        <w:t xml:space="preserve"> and t</w:t>
      </w:r>
      <w:r w:rsidR="009B3B35">
        <w:rPr>
          <w:rFonts w:ascii="Times New Roman" w:hAnsi="Times New Roman"/>
          <w:lang w:val="en-US"/>
        </w:rPr>
        <w:t>h</w:t>
      </w:r>
      <w:r w:rsidR="00BA7534">
        <w:rPr>
          <w:rFonts w:ascii="Times New Roman" w:hAnsi="Times New Roman"/>
          <w:lang w:val="en-US"/>
        </w:rPr>
        <w:t>is</w:t>
      </w:r>
      <w:r w:rsidR="009B3B35">
        <w:rPr>
          <w:rFonts w:ascii="Times New Roman" w:hAnsi="Times New Roman"/>
          <w:lang w:val="en-US"/>
        </w:rPr>
        <w:t xml:space="preserve"> difference </w:t>
      </w:r>
      <w:r w:rsidR="00F01435">
        <w:rPr>
          <w:rFonts w:ascii="Times New Roman" w:hAnsi="Times New Roman"/>
          <w:lang w:val="en-US"/>
        </w:rPr>
        <w:t xml:space="preserve">may </w:t>
      </w:r>
      <w:r w:rsidR="00BA7534">
        <w:rPr>
          <w:rFonts w:ascii="Times New Roman" w:hAnsi="Times New Roman"/>
          <w:lang w:val="en-US"/>
        </w:rPr>
        <w:t xml:space="preserve">have </w:t>
      </w:r>
      <w:r w:rsidR="00F01435">
        <w:rPr>
          <w:rFonts w:ascii="Times New Roman" w:hAnsi="Times New Roman"/>
          <w:lang w:val="en-US"/>
        </w:rPr>
        <w:t xml:space="preserve">consequences for the </w:t>
      </w:r>
      <w:r w:rsidR="009B3B35">
        <w:rPr>
          <w:rFonts w:ascii="Times New Roman" w:hAnsi="Times New Roman"/>
          <w:lang w:val="en-US"/>
        </w:rPr>
        <w:t xml:space="preserve">effectiveness of </w:t>
      </w:r>
      <w:r w:rsidR="00BA7534">
        <w:rPr>
          <w:rFonts w:ascii="Times New Roman" w:hAnsi="Times New Roman"/>
          <w:lang w:val="en-US"/>
        </w:rPr>
        <w:t xml:space="preserve">each </w:t>
      </w:r>
      <w:r w:rsidR="00C763C5">
        <w:rPr>
          <w:rFonts w:ascii="Times New Roman" w:hAnsi="Times New Roman"/>
          <w:lang w:val="en-US"/>
        </w:rPr>
        <w:t>approach</w:t>
      </w:r>
      <w:r w:rsidR="009B3B35">
        <w:rPr>
          <w:rFonts w:ascii="Times New Roman" w:hAnsi="Times New Roman"/>
          <w:lang w:val="en-US"/>
        </w:rPr>
        <w:t xml:space="preserve">. </w:t>
      </w:r>
    </w:p>
    <w:p w14:paraId="28A8C620" w14:textId="77777777" w:rsidR="0074332F" w:rsidRDefault="0074332F">
      <w:pPr>
        <w:jc w:val="both"/>
        <w:rPr>
          <w:rFonts w:ascii="Times New Roman" w:hAnsi="Times New Roman"/>
          <w:lang w:val="en-US"/>
        </w:rPr>
      </w:pPr>
    </w:p>
    <w:p w14:paraId="51A0455A" w14:textId="4029F81B" w:rsidR="0053116A" w:rsidRDefault="00FF6CCA">
      <w:pPr>
        <w:jc w:val="both"/>
        <w:rPr>
          <w:rFonts w:ascii="Times New Roman" w:hAnsi="Times New Roman"/>
          <w:lang w:val="en-US"/>
        </w:rPr>
      </w:pPr>
      <w:r>
        <w:rPr>
          <w:rFonts w:ascii="Times New Roman" w:hAnsi="Times New Roman"/>
          <w:lang w:val="en-US"/>
        </w:rPr>
        <w:t>After</w:t>
      </w:r>
      <w:r w:rsidR="008C5677">
        <w:rPr>
          <w:rFonts w:ascii="Times New Roman" w:hAnsi="Times New Roman"/>
          <w:lang w:val="en-US"/>
        </w:rPr>
        <w:t xml:space="preserve"> </w:t>
      </w:r>
      <w:r w:rsidR="00BA7534">
        <w:rPr>
          <w:rFonts w:ascii="Times New Roman" w:hAnsi="Times New Roman"/>
          <w:lang w:val="en-US"/>
        </w:rPr>
        <w:t xml:space="preserve">the adoption of </w:t>
      </w:r>
      <w:r w:rsidR="008C5677">
        <w:rPr>
          <w:rFonts w:ascii="Times New Roman" w:hAnsi="Times New Roman"/>
          <w:lang w:val="en-US"/>
        </w:rPr>
        <w:t xml:space="preserve">an </w:t>
      </w:r>
      <w:r w:rsidR="00FC0097">
        <w:rPr>
          <w:rFonts w:ascii="Times New Roman" w:hAnsi="Times New Roman"/>
          <w:lang w:val="en-US"/>
        </w:rPr>
        <w:t xml:space="preserve">amendment to the </w:t>
      </w:r>
      <w:r w:rsidR="0053116A">
        <w:rPr>
          <w:rFonts w:ascii="Times New Roman" w:hAnsi="Times New Roman"/>
          <w:lang w:val="en-US"/>
        </w:rPr>
        <w:t xml:space="preserve">procedure </w:t>
      </w:r>
      <w:r w:rsidR="00FC0097">
        <w:rPr>
          <w:rFonts w:ascii="Times New Roman" w:hAnsi="Times New Roman"/>
          <w:lang w:val="en-US"/>
        </w:rPr>
        <w:t>for lis</w:t>
      </w:r>
      <w:r w:rsidR="008C5677">
        <w:rPr>
          <w:rFonts w:ascii="Times New Roman" w:hAnsi="Times New Roman"/>
          <w:lang w:val="en-US"/>
        </w:rPr>
        <w:t>ting a chemical under Annex III</w:t>
      </w:r>
      <w:r w:rsidR="00BC5C1A">
        <w:rPr>
          <w:rFonts w:ascii="Times New Roman" w:hAnsi="Times New Roman"/>
          <w:lang w:val="en-US"/>
        </w:rPr>
        <w:t xml:space="preserve">, </w:t>
      </w:r>
      <w:r w:rsidR="00034FDB">
        <w:rPr>
          <w:rFonts w:ascii="Times New Roman" w:hAnsi="Times New Roman"/>
          <w:lang w:val="en-US"/>
        </w:rPr>
        <w:t xml:space="preserve">the amendment </w:t>
      </w:r>
      <w:r w:rsidR="00BC5C1A">
        <w:rPr>
          <w:rFonts w:ascii="Times New Roman" w:hAnsi="Times New Roman"/>
          <w:lang w:val="en-US"/>
        </w:rPr>
        <w:t>will enter</w:t>
      </w:r>
      <w:r w:rsidR="00034FDB">
        <w:rPr>
          <w:rFonts w:ascii="Times New Roman" w:hAnsi="Times New Roman"/>
          <w:lang w:val="en-US"/>
        </w:rPr>
        <w:t xml:space="preserve"> into force </w:t>
      </w:r>
      <w:r w:rsidR="00C872B8" w:rsidRPr="00354C6E">
        <w:rPr>
          <w:rFonts w:ascii="Times New Roman" w:hAnsi="Times New Roman"/>
          <w:lang w:val="en-US"/>
        </w:rPr>
        <w:t>on the ninetieth day after the date of deposit of instruments of ratification</w:t>
      </w:r>
      <w:r w:rsidR="00AF20BA">
        <w:rPr>
          <w:rFonts w:ascii="Times New Roman" w:hAnsi="Times New Roman"/>
          <w:lang w:val="en-US"/>
        </w:rPr>
        <w:t xml:space="preserve"> and</w:t>
      </w:r>
      <w:r w:rsidR="00C872B8" w:rsidRPr="00354C6E">
        <w:rPr>
          <w:rFonts w:ascii="Times New Roman" w:hAnsi="Times New Roman"/>
          <w:lang w:val="en-US"/>
        </w:rPr>
        <w:t xml:space="preserve"> acceptance or approval by at least three-fourths of the Parties.</w:t>
      </w:r>
      <w:r w:rsidR="00C872B8">
        <w:rPr>
          <w:rStyle w:val="Marquenotebasdepage"/>
          <w:rFonts w:ascii="Times New Roman" w:hAnsi="Times New Roman"/>
          <w:lang w:val="en-US"/>
        </w:rPr>
        <w:footnoteReference w:id="8"/>
      </w:r>
      <w:r w:rsidR="0010209B" w:rsidRPr="00354C6E">
        <w:rPr>
          <w:rFonts w:ascii="Times New Roman" w:hAnsi="Times New Roman"/>
          <w:lang w:val="en-US"/>
        </w:rPr>
        <w:t xml:space="preserve"> Until </w:t>
      </w:r>
      <w:r w:rsidR="00BC5C1A">
        <w:rPr>
          <w:rFonts w:ascii="Times New Roman" w:hAnsi="Times New Roman"/>
          <w:lang w:val="en-US"/>
        </w:rPr>
        <w:t>the amendment enters</w:t>
      </w:r>
      <w:r w:rsidR="00512EE7">
        <w:rPr>
          <w:rFonts w:ascii="Times New Roman" w:hAnsi="Times New Roman"/>
          <w:lang w:val="en-US"/>
        </w:rPr>
        <w:t xml:space="preserve"> into force</w:t>
      </w:r>
      <w:r w:rsidR="0010209B" w:rsidRPr="00354C6E">
        <w:rPr>
          <w:rFonts w:ascii="Times New Roman" w:hAnsi="Times New Roman"/>
          <w:lang w:val="en-US"/>
        </w:rPr>
        <w:t xml:space="preserve">, the inclusion of any new substance to </w:t>
      </w:r>
      <w:r w:rsidR="00AF20BA">
        <w:rPr>
          <w:rFonts w:ascii="Times New Roman" w:hAnsi="Times New Roman"/>
          <w:lang w:val="en-US"/>
        </w:rPr>
        <w:t xml:space="preserve">the </w:t>
      </w:r>
      <w:r w:rsidR="0010209B" w:rsidRPr="00354C6E">
        <w:rPr>
          <w:rFonts w:ascii="Times New Roman" w:hAnsi="Times New Roman"/>
          <w:lang w:val="en-US"/>
        </w:rPr>
        <w:t xml:space="preserve">Annex III list would </w:t>
      </w:r>
      <w:r w:rsidR="00BC5C1A">
        <w:rPr>
          <w:rFonts w:ascii="Times New Roman" w:hAnsi="Times New Roman"/>
          <w:lang w:val="en-US"/>
        </w:rPr>
        <w:t xml:space="preserve">continue to require </w:t>
      </w:r>
      <w:r w:rsidR="00AF20BA">
        <w:rPr>
          <w:rFonts w:ascii="Times New Roman" w:hAnsi="Times New Roman"/>
          <w:lang w:val="en-US"/>
        </w:rPr>
        <w:t xml:space="preserve">a </w:t>
      </w:r>
      <w:r w:rsidR="00BC5C1A">
        <w:rPr>
          <w:rFonts w:ascii="Times New Roman" w:hAnsi="Times New Roman"/>
          <w:lang w:val="en-US"/>
        </w:rPr>
        <w:t>consensus.</w:t>
      </w:r>
      <w:r w:rsidR="0068283B" w:rsidRPr="0068283B">
        <w:rPr>
          <w:rFonts w:ascii="Times New Roman" w:hAnsi="Times New Roman"/>
          <w:lang w:val="en-US"/>
        </w:rPr>
        <w:t xml:space="preserve"> </w:t>
      </w:r>
    </w:p>
    <w:p w14:paraId="4040CFD3" w14:textId="77777777" w:rsidR="0053116A" w:rsidRDefault="0053116A">
      <w:pPr>
        <w:jc w:val="both"/>
        <w:rPr>
          <w:rFonts w:ascii="Times New Roman" w:hAnsi="Times New Roman"/>
          <w:lang w:val="en-US"/>
        </w:rPr>
      </w:pPr>
    </w:p>
    <w:p w14:paraId="06D1FBDE" w14:textId="58582F35" w:rsidR="0068283B" w:rsidRDefault="0068283B">
      <w:pPr>
        <w:jc w:val="both"/>
        <w:rPr>
          <w:rFonts w:ascii="Times New Roman" w:hAnsi="Times New Roman"/>
          <w:lang w:val="en-US"/>
        </w:rPr>
      </w:pPr>
      <w:r>
        <w:rPr>
          <w:rFonts w:ascii="Times New Roman" w:hAnsi="Times New Roman"/>
          <w:lang w:val="en-US"/>
        </w:rPr>
        <w:t xml:space="preserve">The requirement for three-fourths of the Parties to ratify an amendment before it goes into force could </w:t>
      </w:r>
      <w:r w:rsidR="0053116A">
        <w:rPr>
          <w:rFonts w:ascii="Times New Roman" w:hAnsi="Times New Roman"/>
          <w:lang w:val="en-US"/>
        </w:rPr>
        <w:t xml:space="preserve">be </w:t>
      </w:r>
      <w:r w:rsidR="00571B8F">
        <w:rPr>
          <w:rFonts w:ascii="Times New Roman" w:hAnsi="Times New Roman"/>
          <w:lang w:val="en-US"/>
        </w:rPr>
        <w:t>a challenge</w:t>
      </w:r>
      <w:r>
        <w:rPr>
          <w:rFonts w:ascii="Times New Roman" w:hAnsi="Times New Roman"/>
          <w:lang w:val="en-US"/>
        </w:rPr>
        <w:t xml:space="preserve">. </w:t>
      </w:r>
      <w:r w:rsidRPr="00354C6E">
        <w:rPr>
          <w:rFonts w:ascii="Times New Roman" w:hAnsi="Times New Roman"/>
          <w:lang w:val="en-US"/>
        </w:rPr>
        <w:t xml:space="preserve">At the time of writing, there are 157 Parties to the Convention. 118 Parties would have to adopt and ratify the Amendment before it entered into force. </w:t>
      </w:r>
      <w:r>
        <w:rPr>
          <w:rFonts w:ascii="Times New Roman" w:hAnsi="Times New Roman"/>
          <w:lang w:val="en-US"/>
        </w:rPr>
        <w:t xml:space="preserve">As the Secretariat has observed, ratification by this number of Parties </w:t>
      </w:r>
      <w:r w:rsidRPr="00354C6E">
        <w:rPr>
          <w:rFonts w:ascii="Times New Roman" w:hAnsi="Times New Roman"/>
          <w:lang w:val="en-US"/>
        </w:rPr>
        <w:t>could take several year</w:t>
      </w:r>
      <w:r>
        <w:rPr>
          <w:rFonts w:ascii="Times New Roman" w:hAnsi="Times New Roman"/>
          <w:lang w:val="en-US"/>
        </w:rPr>
        <w:t>s or might n</w:t>
      </w:r>
      <w:r w:rsidR="00AF20BA">
        <w:rPr>
          <w:rFonts w:ascii="Times New Roman" w:hAnsi="Times New Roman"/>
          <w:lang w:val="en-US"/>
        </w:rPr>
        <w:t>ever</w:t>
      </w:r>
      <w:r>
        <w:rPr>
          <w:rFonts w:ascii="Times New Roman" w:hAnsi="Times New Roman"/>
          <w:lang w:val="en-US"/>
        </w:rPr>
        <w:t xml:space="preserve"> occur.</w:t>
      </w:r>
      <w:r w:rsidRPr="00354C6E">
        <w:rPr>
          <w:rStyle w:val="Marquenotebasdepage"/>
          <w:rFonts w:ascii="Times New Roman" w:hAnsi="Times New Roman"/>
          <w:lang w:val="en-US"/>
        </w:rPr>
        <w:footnoteReference w:id="9"/>
      </w:r>
    </w:p>
    <w:p w14:paraId="71A2949F" w14:textId="71F3C2C9" w:rsidR="00D6758A" w:rsidRDefault="00603F7A" w:rsidP="00667DFB">
      <w:pPr>
        <w:jc w:val="both"/>
        <w:rPr>
          <w:rFonts w:ascii="Times New Roman" w:hAnsi="Times New Roman"/>
          <w:lang w:val="en-US"/>
        </w:rPr>
      </w:pPr>
      <w:r w:rsidRPr="00603F7A">
        <w:rPr>
          <w:rFonts w:ascii="Times New Roman" w:hAnsi="Times New Roman"/>
          <w:i/>
          <w:lang w:val="en-US"/>
        </w:rPr>
        <w:t xml:space="preserve"> </w:t>
      </w:r>
    </w:p>
    <w:p w14:paraId="052C9D10" w14:textId="416CBBCD" w:rsidR="007913EE" w:rsidRPr="00354C6E" w:rsidRDefault="00667DFB" w:rsidP="00667DFB">
      <w:pPr>
        <w:jc w:val="both"/>
        <w:rPr>
          <w:rFonts w:ascii="Times New Roman" w:hAnsi="Times New Roman"/>
          <w:lang w:val="en-US"/>
        </w:rPr>
      </w:pPr>
      <w:r w:rsidRPr="00354C6E">
        <w:rPr>
          <w:rFonts w:ascii="Times New Roman" w:hAnsi="Times New Roman"/>
          <w:lang w:val="en-US"/>
        </w:rPr>
        <w:t xml:space="preserve">Unlike </w:t>
      </w:r>
      <w:r w:rsidR="00D6758A">
        <w:rPr>
          <w:rFonts w:ascii="Times New Roman" w:hAnsi="Times New Roman"/>
          <w:lang w:val="en-US"/>
        </w:rPr>
        <w:t>the</w:t>
      </w:r>
      <w:r w:rsidR="00E46B92">
        <w:rPr>
          <w:rFonts w:ascii="Times New Roman" w:hAnsi="Times New Roman"/>
          <w:lang w:val="en-US"/>
        </w:rPr>
        <w:t xml:space="preserve"> requirement for amending the</w:t>
      </w:r>
      <w:r w:rsidR="00571B8F">
        <w:rPr>
          <w:rFonts w:ascii="Times New Roman" w:hAnsi="Times New Roman"/>
          <w:lang w:val="en-US"/>
        </w:rPr>
        <w:t xml:space="preserve"> procedure </w:t>
      </w:r>
      <w:r w:rsidR="00E46B92">
        <w:rPr>
          <w:rFonts w:ascii="Times New Roman" w:hAnsi="Times New Roman"/>
          <w:lang w:val="en-US"/>
        </w:rPr>
        <w:t>for Annex III listings</w:t>
      </w:r>
      <w:r w:rsidRPr="00354C6E">
        <w:rPr>
          <w:rFonts w:ascii="Times New Roman" w:hAnsi="Times New Roman"/>
          <w:lang w:val="en-US"/>
        </w:rPr>
        <w:t xml:space="preserve">, </w:t>
      </w:r>
      <w:r w:rsidR="00A36831">
        <w:rPr>
          <w:rFonts w:ascii="Times New Roman" w:hAnsi="Times New Roman"/>
          <w:lang w:val="en-US"/>
        </w:rPr>
        <w:t xml:space="preserve">the creation of a </w:t>
      </w:r>
      <w:r w:rsidRPr="00354C6E">
        <w:rPr>
          <w:rFonts w:ascii="Times New Roman" w:hAnsi="Times New Roman"/>
          <w:lang w:val="en-US"/>
        </w:rPr>
        <w:t>new annex do</w:t>
      </w:r>
      <w:r w:rsidR="00A36831">
        <w:rPr>
          <w:rFonts w:ascii="Times New Roman" w:hAnsi="Times New Roman"/>
          <w:lang w:val="en-US"/>
        </w:rPr>
        <w:t>es</w:t>
      </w:r>
      <w:r w:rsidRPr="00354C6E">
        <w:rPr>
          <w:rFonts w:ascii="Times New Roman" w:hAnsi="Times New Roman"/>
          <w:lang w:val="en-US"/>
        </w:rPr>
        <w:t xml:space="preserve"> not need to be ratified after adoption</w:t>
      </w:r>
      <w:r w:rsidR="00D6758A">
        <w:rPr>
          <w:rFonts w:ascii="Times New Roman" w:hAnsi="Times New Roman"/>
          <w:lang w:val="en-US"/>
        </w:rPr>
        <w:t xml:space="preserve"> to enter into force</w:t>
      </w:r>
      <w:r w:rsidRPr="00354C6E">
        <w:rPr>
          <w:rFonts w:ascii="Times New Roman" w:hAnsi="Times New Roman"/>
          <w:lang w:val="en-US"/>
        </w:rPr>
        <w:t xml:space="preserve">. </w:t>
      </w:r>
      <w:r w:rsidR="00AF20BA">
        <w:rPr>
          <w:rFonts w:ascii="Times New Roman" w:hAnsi="Times New Roman"/>
          <w:lang w:val="en-US"/>
        </w:rPr>
        <w:t>A</w:t>
      </w:r>
      <w:r w:rsidR="00746138">
        <w:rPr>
          <w:rFonts w:ascii="Times New Roman" w:hAnsi="Times New Roman"/>
          <w:lang w:val="en-US"/>
        </w:rPr>
        <w:t xml:space="preserve">fter one year has passed </w:t>
      </w:r>
      <w:r w:rsidRPr="00354C6E">
        <w:rPr>
          <w:rFonts w:ascii="Times New Roman" w:hAnsi="Times New Roman"/>
          <w:lang w:val="en-US"/>
        </w:rPr>
        <w:t xml:space="preserve">from the date of </w:t>
      </w:r>
      <w:r w:rsidR="00D6758A">
        <w:rPr>
          <w:rFonts w:ascii="Times New Roman" w:hAnsi="Times New Roman"/>
          <w:lang w:val="en-US"/>
        </w:rPr>
        <w:t xml:space="preserve">adoption of </w:t>
      </w:r>
      <w:r w:rsidRPr="00354C6E">
        <w:rPr>
          <w:rFonts w:ascii="Times New Roman" w:hAnsi="Times New Roman"/>
          <w:lang w:val="en-US"/>
        </w:rPr>
        <w:t xml:space="preserve">an additional annex, </w:t>
      </w:r>
      <w:r w:rsidR="0056733C">
        <w:rPr>
          <w:rFonts w:ascii="Times New Roman" w:hAnsi="Times New Roman"/>
          <w:lang w:val="en-US"/>
        </w:rPr>
        <w:t>the annex</w:t>
      </w:r>
      <w:r w:rsidR="00D6758A">
        <w:rPr>
          <w:rFonts w:ascii="Times New Roman" w:hAnsi="Times New Roman"/>
          <w:lang w:val="en-US"/>
        </w:rPr>
        <w:t xml:space="preserve"> </w:t>
      </w:r>
      <w:r w:rsidRPr="00354C6E">
        <w:rPr>
          <w:rFonts w:ascii="Times New Roman" w:hAnsi="Times New Roman"/>
          <w:lang w:val="en-US"/>
        </w:rPr>
        <w:t>enter</w:t>
      </w:r>
      <w:r w:rsidR="00746138">
        <w:rPr>
          <w:rFonts w:ascii="Times New Roman" w:hAnsi="Times New Roman"/>
          <w:lang w:val="en-US"/>
        </w:rPr>
        <w:t>s</w:t>
      </w:r>
      <w:r w:rsidRPr="00354C6E">
        <w:rPr>
          <w:rFonts w:ascii="Times New Roman" w:hAnsi="Times New Roman"/>
          <w:lang w:val="en-US"/>
        </w:rPr>
        <w:t xml:space="preserve"> into force for all Parties that have not explicitly notified</w:t>
      </w:r>
      <w:r w:rsidR="00D6758A">
        <w:rPr>
          <w:rFonts w:ascii="Times New Roman" w:hAnsi="Times New Roman"/>
          <w:lang w:val="en-US"/>
        </w:rPr>
        <w:t xml:space="preserve"> their non-acceptance of </w:t>
      </w:r>
      <w:r w:rsidR="0056733C">
        <w:rPr>
          <w:rFonts w:ascii="Times New Roman" w:hAnsi="Times New Roman"/>
          <w:lang w:val="en-US"/>
        </w:rPr>
        <w:t>it</w:t>
      </w:r>
      <w:r w:rsidRPr="00354C6E">
        <w:rPr>
          <w:rFonts w:ascii="Times New Roman" w:hAnsi="Times New Roman"/>
          <w:lang w:val="en-US"/>
        </w:rPr>
        <w:t>.</w:t>
      </w:r>
      <w:r w:rsidR="00CF144D">
        <w:rPr>
          <w:rStyle w:val="Marquenotebasdepage"/>
          <w:rFonts w:ascii="Times New Roman" w:hAnsi="Times New Roman"/>
          <w:lang w:val="en-US"/>
        </w:rPr>
        <w:footnoteReference w:id="10"/>
      </w:r>
      <w:r w:rsidR="0007641D">
        <w:rPr>
          <w:rFonts w:ascii="Times New Roman" w:hAnsi="Times New Roman"/>
          <w:lang w:val="en-US"/>
        </w:rPr>
        <w:t xml:space="preserve"> Thus, a new annex will enter into force just one year after it has been adopted. </w:t>
      </w:r>
    </w:p>
    <w:p w14:paraId="5109393E" w14:textId="4166725F" w:rsidR="00397514" w:rsidRDefault="0010209B">
      <w:pPr>
        <w:jc w:val="both"/>
        <w:rPr>
          <w:rFonts w:ascii="Times New Roman" w:hAnsi="Times New Roman"/>
          <w:lang w:val="en-US"/>
        </w:rPr>
      </w:pPr>
      <w:r w:rsidRPr="00354C6E">
        <w:rPr>
          <w:rFonts w:ascii="Times New Roman" w:hAnsi="Times New Roman"/>
          <w:lang w:val="en-US"/>
        </w:rPr>
        <w:t xml:space="preserve"> </w:t>
      </w:r>
    </w:p>
    <w:p w14:paraId="29EAA5AE" w14:textId="036D782D" w:rsidR="00036761" w:rsidRDefault="00FC6472" w:rsidP="00C763C5">
      <w:pPr>
        <w:rPr>
          <w:rFonts w:ascii="Times New Roman" w:hAnsi="Times New Roman"/>
          <w:lang w:val="en-US"/>
        </w:rPr>
      </w:pPr>
      <w:r w:rsidRPr="00FC6472">
        <w:rPr>
          <w:rFonts w:ascii="Times New Roman" w:hAnsi="Times New Roman"/>
          <w:b/>
          <w:lang w:val="en-US"/>
        </w:rPr>
        <w:t>2</w:t>
      </w:r>
      <w:r w:rsidR="00EF3265">
        <w:rPr>
          <w:rFonts w:ascii="Times New Roman" w:hAnsi="Times New Roman"/>
          <w:b/>
          <w:lang w:val="en-US"/>
        </w:rPr>
        <w:t>.</w:t>
      </w:r>
      <w:r w:rsidRPr="00FC6472">
        <w:rPr>
          <w:rFonts w:ascii="Times New Roman" w:hAnsi="Times New Roman"/>
          <w:b/>
          <w:lang w:val="en-US"/>
        </w:rPr>
        <w:t xml:space="preserve"> </w:t>
      </w:r>
      <w:r w:rsidR="00A7702E">
        <w:rPr>
          <w:rFonts w:ascii="Times New Roman" w:hAnsi="Times New Roman"/>
          <w:b/>
          <w:lang w:val="en-US"/>
        </w:rPr>
        <w:t xml:space="preserve">Options for amending the </w:t>
      </w:r>
      <w:r w:rsidR="00ED7433">
        <w:rPr>
          <w:rFonts w:ascii="Times New Roman" w:hAnsi="Times New Roman"/>
          <w:b/>
          <w:lang w:val="en-US"/>
        </w:rPr>
        <w:t>procedure for listing chemicals under</w:t>
      </w:r>
      <w:r w:rsidRPr="00FC6472">
        <w:rPr>
          <w:rFonts w:ascii="Times New Roman" w:hAnsi="Times New Roman"/>
          <w:b/>
          <w:lang w:val="en-US"/>
        </w:rPr>
        <w:t xml:space="preserve"> Annex III </w:t>
      </w:r>
    </w:p>
    <w:p w14:paraId="29E2DCC7" w14:textId="77777777" w:rsidR="007727C8" w:rsidRPr="002072AB" w:rsidRDefault="007727C8" w:rsidP="007727C8">
      <w:pPr>
        <w:jc w:val="both"/>
        <w:rPr>
          <w:rFonts w:ascii="Times New Roman" w:hAnsi="Times New Roman"/>
          <w:lang w:val="en-US"/>
        </w:rPr>
      </w:pPr>
    </w:p>
    <w:p w14:paraId="7F3C8C97" w14:textId="77777777" w:rsidR="007727C8" w:rsidRPr="005761D7" w:rsidRDefault="00603F7A" w:rsidP="007727C8">
      <w:pPr>
        <w:jc w:val="both"/>
        <w:rPr>
          <w:rFonts w:ascii="Times New Roman" w:hAnsi="Times New Roman"/>
          <w:i/>
          <w:lang w:val="en-US"/>
        </w:rPr>
      </w:pPr>
      <w:r w:rsidRPr="00603F7A">
        <w:rPr>
          <w:rFonts w:ascii="Times New Roman" w:hAnsi="Times New Roman"/>
          <w:i/>
          <w:lang w:val="en-US"/>
        </w:rPr>
        <w:t>2.1. Amending procedure of Article 22.5</w:t>
      </w:r>
    </w:p>
    <w:p w14:paraId="50EA75F0" w14:textId="77777777" w:rsidR="007727C8" w:rsidRPr="002072AB" w:rsidRDefault="007727C8" w:rsidP="007727C8">
      <w:pPr>
        <w:jc w:val="both"/>
        <w:rPr>
          <w:rFonts w:ascii="Times New Roman" w:hAnsi="Times New Roman"/>
          <w:lang w:val="en-US"/>
        </w:rPr>
      </w:pPr>
    </w:p>
    <w:p w14:paraId="4DBB6668" w14:textId="251B6DFF" w:rsidR="007727C8" w:rsidRDefault="00ED7433" w:rsidP="007727C8">
      <w:pPr>
        <w:jc w:val="both"/>
        <w:rPr>
          <w:rFonts w:ascii="Times New Roman" w:hAnsi="Times New Roman"/>
          <w:lang w:val="en-US"/>
        </w:rPr>
      </w:pPr>
      <w:r>
        <w:rPr>
          <w:rFonts w:ascii="Times New Roman" w:hAnsi="Times New Roman"/>
          <w:lang w:val="en-US"/>
        </w:rPr>
        <w:t>There are two main ways to amend the procedure for listing chemicals under Annex I</w:t>
      </w:r>
      <w:r w:rsidR="009219B4">
        <w:rPr>
          <w:rFonts w:ascii="Times New Roman" w:hAnsi="Times New Roman"/>
          <w:lang w:val="en-US"/>
        </w:rPr>
        <w:t>I</w:t>
      </w:r>
      <w:r>
        <w:rPr>
          <w:rFonts w:ascii="Times New Roman" w:hAnsi="Times New Roman"/>
          <w:lang w:val="en-US"/>
        </w:rPr>
        <w:t>I</w:t>
      </w:r>
      <w:r w:rsidR="004022C2">
        <w:rPr>
          <w:rFonts w:ascii="Times New Roman" w:hAnsi="Times New Roman"/>
          <w:lang w:val="en-US"/>
        </w:rPr>
        <w:t>:</w:t>
      </w:r>
      <w:r>
        <w:rPr>
          <w:rFonts w:ascii="Times New Roman" w:hAnsi="Times New Roman"/>
          <w:lang w:val="en-US"/>
        </w:rPr>
        <w:t xml:space="preserve"> </w:t>
      </w:r>
      <w:r w:rsidR="00AF20BA">
        <w:rPr>
          <w:rFonts w:ascii="Times New Roman" w:hAnsi="Times New Roman"/>
          <w:lang w:val="en-US"/>
        </w:rPr>
        <w:t>First, i</w:t>
      </w:r>
      <w:r w:rsidR="00FD589E">
        <w:rPr>
          <w:rFonts w:ascii="Times New Roman" w:hAnsi="Times New Roman"/>
          <w:lang w:val="en-US"/>
        </w:rPr>
        <w:t xml:space="preserve">t could </w:t>
      </w:r>
      <w:r>
        <w:rPr>
          <w:rFonts w:ascii="Times New Roman" w:hAnsi="Times New Roman"/>
          <w:lang w:val="en-US"/>
        </w:rPr>
        <w:t xml:space="preserve">be modified to align with the </w:t>
      </w:r>
      <w:r w:rsidR="004F1F32">
        <w:rPr>
          <w:rFonts w:ascii="Times New Roman" w:hAnsi="Times New Roman"/>
          <w:lang w:val="en-US"/>
        </w:rPr>
        <w:t>procedure for amend</w:t>
      </w:r>
      <w:r>
        <w:rPr>
          <w:rFonts w:ascii="Times New Roman" w:hAnsi="Times New Roman"/>
          <w:lang w:val="en-US"/>
        </w:rPr>
        <w:t>ing</w:t>
      </w:r>
      <w:r w:rsidR="004F1F32">
        <w:rPr>
          <w:rFonts w:ascii="Times New Roman" w:hAnsi="Times New Roman"/>
          <w:lang w:val="en-US"/>
        </w:rPr>
        <w:t xml:space="preserve"> all </w:t>
      </w:r>
      <w:r w:rsidR="007451B7">
        <w:rPr>
          <w:rFonts w:ascii="Times New Roman" w:hAnsi="Times New Roman"/>
          <w:lang w:val="en-US"/>
        </w:rPr>
        <w:t xml:space="preserve">other </w:t>
      </w:r>
      <w:r>
        <w:rPr>
          <w:rFonts w:ascii="Times New Roman" w:hAnsi="Times New Roman"/>
          <w:lang w:val="en-US"/>
        </w:rPr>
        <w:t>a</w:t>
      </w:r>
      <w:r w:rsidR="007451B7">
        <w:rPr>
          <w:rFonts w:ascii="Times New Roman" w:hAnsi="Times New Roman"/>
          <w:lang w:val="en-US"/>
        </w:rPr>
        <w:t>nnexes to the Convention</w:t>
      </w:r>
      <w:r w:rsidR="00FD589E">
        <w:rPr>
          <w:rFonts w:ascii="Times New Roman" w:hAnsi="Times New Roman"/>
          <w:lang w:val="en-US"/>
        </w:rPr>
        <w:t>. Alternatively</w:t>
      </w:r>
      <w:r w:rsidR="00AF20BA">
        <w:rPr>
          <w:rFonts w:ascii="Times New Roman" w:hAnsi="Times New Roman"/>
          <w:lang w:val="en-US"/>
        </w:rPr>
        <w:t>,</w:t>
      </w:r>
      <w:r>
        <w:rPr>
          <w:rFonts w:ascii="Times New Roman" w:hAnsi="Times New Roman"/>
          <w:lang w:val="en-US"/>
        </w:rPr>
        <w:t xml:space="preserve"> the consensus requirement </w:t>
      </w:r>
      <w:r w:rsidR="00FD589E">
        <w:rPr>
          <w:rFonts w:ascii="Times New Roman" w:hAnsi="Times New Roman"/>
          <w:lang w:val="en-US"/>
        </w:rPr>
        <w:t xml:space="preserve">of Article 22.5(b) </w:t>
      </w:r>
      <w:r>
        <w:rPr>
          <w:rFonts w:ascii="Times New Roman" w:hAnsi="Times New Roman"/>
          <w:lang w:val="en-US"/>
        </w:rPr>
        <w:t xml:space="preserve">could be </w:t>
      </w:r>
      <w:r w:rsidR="00FD589E">
        <w:rPr>
          <w:rFonts w:ascii="Times New Roman" w:hAnsi="Times New Roman"/>
          <w:lang w:val="en-US"/>
        </w:rPr>
        <w:t>removed</w:t>
      </w:r>
      <w:r>
        <w:rPr>
          <w:rFonts w:ascii="Times New Roman" w:hAnsi="Times New Roman"/>
          <w:lang w:val="en-US"/>
        </w:rPr>
        <w:t xml:space="preserve">. </w:t>
      </w:r>
      <w:r w:rsidR="007451B7">
        <w:rPr>
          <w:rFonts w:ascii="Times New Roman" w:hAnsi="Times New Roman"/>
          <w:lang w:val="en-US"/>
        </w:rPr>
        <w:t xml:space="preserve"> </w:t>
      </w:r>
    </w:p>
    <w:p w14:paraId="2954850A" w14:textId="77777777" w:rsidR="007727C8" w:rsidRDefault="007727C8" w:rsidP="007727C8">
      <w:pPr>
        <w:jc w:val="both"/>
        <w:rPr>
          <w:rFonts w:ascii="Times New Roman" w:hAnsi="Times New Roman"/>
          <w:lang w:val="en-US"/>
        </w:rPr>
      </w:pPr>
    </w:p>
    <w:p w14:paraId="2A80A1A2" w14:textId="2857897C" w:rsidR="007727C8" w:rsidRPr="005761D7" w:rsidRDefault="00603F7A" w:rsidP="007727C8">
      <w:pPr>
        <w:jc w:val="both"/>
        <w:rPr>
          <w:rFonts w:ascii="Times New Roman" w:hAnsi="Times New Roman"/>
          <w:i/>
          <w:lang w:val="en-US"/>
        </w:rPr>
      </w:pPr>
      <w:r w:rsidRPr="00603F7A">
        <w:rPr>
          <w:rFonts w:ascii="Times New Roman" w:hAnsi="Times New Roman"/>
          <w:i/>
          <w:lang w:val="en-US"/>
        </w:rPr>
        <w:t>2.1.1</w:t>
      </w:r>
      <w:r w:rsidR="00AF20BA">
        <w:rPr>
          <w:rFonts w:ascii="Times New Roman" w:hAnsi="Times New Roman"/>
          <w:i/>
          <w:lang w:val="en-US"/>
        </w:rPr>
        <w:t>.</w:t>
      </w:r>
      <w:r w:rsidRPr="00603F7A">
        <w:rPr>
          <w:rFonts w:ascii="Times New Roman" w:hAnsi="Times New Roman"/>
          <w:i/>
          <w:lang w:val="en-US"/>
        </w:rPr>
        <w:t xml:space="preserve"> Aligning annex amendment procedures</w:t>
      </w:r>
    </w:p>
    <w:p w14:paraId="23C584E4" w14:textId="77777777" w:rsidR="007727C8" w:rsidRDefault="007727C8" w:rsidP="007727C8">
      <w:pPr>
        <w:jc w:val="both"/>
        <w:rPr>
          <w:rFonts w:ascii="Times New Roman" w:hAnsi="Times New Roman"/>
          <w:lang w:val="en-US"/>
        </w:rPr>
      </w:pPr>
    </w:p>
    <w:p w14:paraId="6B87EBC7" w14:textId="080D3A8A" w:rsidR="002F1DF5" w:rsidRDefault="00B126A8" w:rsidP="007727C8">
      <w:pPr>
        <w:jc w:val="both"/>
        <w:rPr>
          <w:rFonts w:ascii="Times New Roman" w:hAnsi="Times New Roman"/>
          <w:lang w:val="en-US"/>
        </w:rPr>
      </w:pPr>
      <w:r>
        <w:rPr>
          <w:rFonts w:ascii="Times New Roman" w:hAnsi="Times New Roman"/>
          <w:lang w:val="en-US"/>
        </w:rPr>
        <w:t xml:space="preserve">The process to amend </w:t>
      </w:r>
      <w:r w:rsidR="002F1DF5">
        <w:rPr>
          <w:rFonts w:ascii="Times New Roman" w:hAnsi="Times New Roman"/>
          <w:lang w:val="en-US"/>
        </w:rPr>
        <w:t xml:space="preserve">the </w:t>
      </w:r>
      <w:r>
        <w:rPr>
          <w:rFonts w:ascii="Times New Roman" w:hAnsi="Times New Roman"/>
          <w:lang w:val="en-US"/>
        </w:rPr>
        <w:t xml:space="preserve">Annex III </w:t>
      </w:r>
      <w:r w:rsidR="002F1DF5">
        <w:rPr>
          <w:rFonts w:ascii="Times New Roman" w:hAnsi="Times New Roman"/>
          <w:lang w:val="en-US"/>
        </w:rPr>
        <w:t xml:space="preserve">list </w:t>
      </w:r>
      <w:r>
        <w:rPr>
          <w:rFonts w:ascii="Times New Roman" w:hAnsi="Times New Roman"/>
          <w:lang w:val="en-US"/>
        </w:rPr>
        <w:t xml:space="preserve">differs </w:t>
      </w:r>
      <w:r w:rsidR="002F1DF5">
        <w:rPr>
          <w:rFonts w:ascii="Times New Roman" w:hAnsi="Times New Roman"/>
          <w:lang w:val="en-US"/>
        </w:rPr>
        <w:t xml:space="preserve">significantly </w:t>
      </w:r>
      <w:r>
        <w:rPr>
          <w:rFonts w:ascii="Times New Roman" w:hAnsi="Times New Roman"/>
          <w:lang w:val="en-US"/>
        </w:rPr>
        <w:t>from the amendment</w:t>
      </w:r>
      <w:r w:rsidR="00666627">
        <w:rPr>
          <w:rFonts w:ascii="Times New Roman" w:hAnsi="Times New Roman"/>
          <w:lang w:val="en-US"/>
        </w:rPr>
        <w:t xml:space="preserve"> processes</w:t>
      </w:r>
      <w:r>
        <w:rPr>
          <w:rFonts w:ascii="Times New Roman" w:hAnsi="Times New Roman"/>
          <w:lang w:val="en-US"/>
        </w:rPr>
        <w:t xml:space="preserve"> of other annexes to the Convention. In particular, amending the list of Annex III to the Convention requires </w:t>
      </w:r>
      <w:r w:rsidR="00666627">
        <w:rPr>
          <w:rFonts w:ascii="Times New Roman" w:hAnsi="Times New Roman"/>
          <w:lang w:val="en-US"/>
        </w:rPr>
        <w:t xml:space="preserve">a </w:t>
      </w:r>
      <w:r>
        <w:rPr>
          <w:rFonts w:ascii="Times New Roman" w:hAnsi="Times New Roman"/>
          <w:lang w:val="en-US"/>
        </w:rPr>
        <w:t>consensus, while amending the other annexes does</w:t>
      </w:r>
      <w:r w:rsidR="000C303A">
        <w:rPr>
          <w:rFonts w:ascii="Times New Roman" w:hAnsi="Times New Roman"/>
          <w:lang w:val="en-US"/>
        </w:rPr>
        <w:t xml:space="preserve"> no</w:t>
      </w:r>
      <w:r>
        <w:rPr>
          <w:rFonts w:ascii="Times New Roman" w:hAnsi="Times New Roman"/>
          <w:lang w:val="en-US"/>
        </w:rPr>
        <w:t xml:space="preserve">t. </w:t>
      </w:r>
    </w:p>
    <w:p w14:paraId="586D2009" w14:textId="77777777" w:rsidR="002F1DF5" w:rsidRDefault="002F1DF5" w:rsidP="007727C8">
      <w:pPr>
        <w:jc w:val="both"/>
        <w:rPr>
          <w:rFonts w:ascii="Times New Roman" w:hAnsi="Times New Roman"/>
          <w:lang w:val="en-US"/>
        </w:rPr>
      </w:pPr>
    </w:p>
    <w:p w14:paraId="6D72E517" w14:textId="41421637" w:rsidR="00B126A8" w:rsidRDefault="002F1DF5" w:rsidP="007727C8">
      <w:pPr>
        <w:jc w:val="both"/>
        <w:rPr>
          <w:rFonts w:ascii="Times New Roman" w:hAnsi="Times New Roman"/>
          <w:lang w:val="en-US"/>
        </w:rPr>
      </w:pPr>
      <w:r>
        <w:rPr>
          <w:rFonts w:ascii="Times New Roman" w:hAnsi="Times New Roman"/>
          <w:lang w:val="en-US"/>
        </w:rPr>
        <w:t xml:space="preserve">Aligning both procedures could be </w:t>
      </w:r>
      <w:r w:rsidR="00B126A8">
        <w:rPr>
          <w:rFonts w:ascii="Times New Roman" w:hAnsi="Times New Roman"/>
          <w:lang w:val="en-US"/>
        </w:rPr>
        <w:t>achieved by deleting the words “</w:t>
      </w:r>
      <w:r w:rsidR="000C303A">
        <w:rPr>
          <w:rFonts w:ascii="Times New Roman" w:hAnsi="Times New Roman"/>
          <w:lang w:val="en-US"/>
        </w:rPr>
        <w:t>E</w:t>
      </w:r>
      <w:r w:rsidR="00B126A8" w:rsidRPr="00FC6472">
        <w:rPr>
          <w:rFonts w:ascii="Times New Roman" w:hAnsi="Times New Roman"/>
          <w:lang w:val="en-US"/>
        </w:rPr>
        <w:t>xcept in the case of Annex III</w:t>
      </w:r>
      <w:r w:rsidR="00B126A8">
        <w:rPr>
          <w:rFonts w:ascii="Times New Roman" w:hAnsi="Times New Roman"/>
          <w:lang w:val="en-US"/>
        </w:rPr>
        <w:t xml:space="preserve">” from the text of </w:t>
      </w:r>
      <w:r w:rsidR="006967EB">
        <w:rPr>
          <w:rFonts w:ascii="Times New Roman" w:hAnsi="Times New Roman"/>
          <w:lang w:val="en-US"/>
        </w:rPr>
        <w:t>A</w:t>
      </w:r>
      <w:r w:rsidR="00B126A8">
        <w:rPr>
          <w:rFonts w:ascii="Times New Roman" w:hAnsi="Times New Roman"/>
          <w:lang w:val="en-US"/>
        </w:rPr>
        <w:t xml:space="preserve">rticle </w:t>
      </w:r>
      <w:r>
        <w:rPr>
          <w:rFonts w:ascii="Times New Roman" w:hAnsi="Times New Roman"/>
          <w:lang w:val="en-US"/>
        </w:rPr>
        <w:t xml:space="preserve">22.4 </w:t>
      </w:r>
      <w:r w:rsidR="00D30886">
        <w:rPr>
          <w:rFonts w:ascii="Times New Roman" w:hAnsi="Times New Roman"/>
          <w:lang w:val="en-US"/>
        </w:rPr>
        <w:t>and</w:t>
      </w:r>
      <w:r>
        <w:rPr>
          <w:rFonts w:ascii="Times New Roman" w:hAnsi="Times New Roman"/>
          <w:lang w:val="en-US"/>
        </w:rPr>
        <w:t xml:space="preserve"> deleting Article 22.5, which currently describes the procedure to amend the list of Annex III. </w:t>
      </w:r>
    </w:p>
    <w:p w14:paraId="6BCB8BCE" w14:textId="77777777" w:rsidR="002F1DF5" w:rsidRDefault="002F1DF5" w:rsidP="007727C8">
      <w:pPr>
        <w:jc w:val="both"/>
        <w:rPr>
          <w:rFonts w:ascii="Times New Roman" w:hAnsi="Times New Roman"/>
          <w:lang w:val="en-US"/>
        </w:rPr>
      </w:pPr>
    </w:p>
    <w:p w14:paraId="7ABF3FC4" w14:textId="4A484C66" w:rsidR="00FB4250" w:rsidRDefault="000C303A" w:rsidP="00FB4250">
      <w:pPr>
        <w:jc w:val="both"/>
        <w:rPr>
          <w:rFonts w:ascii="Times New Roman" w:hAnsi="Times New Roman"/>
          <w:lang w:val="en-US"/>
        </w:rPr>
      </w:pPr>
      <w:r>
        <w:rPr>
          <w:rFonts w:ascii="Times New Roman" w:hAnsi="Times New Roman"/>
          <w:lang w:val="en-US"/>
        </w:rPr>
        <w:t xml:space="preserve">Deleting </w:t>
      </w:r>
      <w:r w:rsidR="00FB4250">
        <w:rPr>
          <w:rFonts w:ascii="Times New Roman" w:hAnsi="Times New Roman"/>
          <w:lang w:val="en-US"/>
        </w:rPr>
        <w:t>Article 22.5 of the Convention</w:t>
      </w:r>
      <w:r>
        <w:rPr>
          <w:rFonts w:ascii="Times New Roman" w:hAnsi="Times New Roman"/>
          <w:lang w:val="en-US"/>
        </w:rPr>
        <w:t xml:space="preserve"> </w:t>
      </w:r>
      <w:r w:rsidR="00FB4250">
        <w:rPr>
          <w:rFonts w:ascii="Times New Roman" w:hAnsi="Times New Roman"/>
          <w:lang w:val="en-US"/>
        </w:rPr>
        <w:t xml:space="preserve">would </w:t>
      </w:r>
      <w:r w:rsidR="00D30886">
        <w:rPr>
          <w:rFonts w:ascii="Times New Roman" w:hAnsi="Times New Roman"/>
          <w:lang w:val="en-US"/>
        </w:rPr>
        <w:t>erase</w:t>
      </w:r>
      <w:r w:rsidR="00FB4250">
        <w:rPr>
          <w:rFonts w:ascii="Times New Roman" w:hAnsi="Times New Roman"/>
          <w:lang w:val="en-US"/>
        </w:rPr>
        <w:t xml:space="preserve"> all references to the procedural steps prescribed</w:t>
      </w:r>
      <w:r w:rsidR="00FB4250" w:rsidRPr="00FC6472">
        <w:rPr>
          <w:rFonts w:ascii="Times New Roman" w:hAnsi="Times New Roman"/>
          <w:lang w:val="en-US"/>
        </w:rPr>
        <w:t xml:space="preserve"> in Article</w:t>
      </w:r>
      <w:r w:rsidR="00D30886">
        <w:rPr>
          <w:rFonts w:ascii="Times New Roman" w:hAnsi="Times New Roman"/>
          <w:lang w:val="en-US"/>
        </w:rPr>
        <w:t>s</w:t>
      </w:r>
      <w:r w:rsidR="00FB4250" w:rsidRPr="00FC6472">
        <w:rPr>
          <w:rFonts w:ascii="Times New Roman" w:hAnsi="Times New Roman"/>
          <w:lang w:val="en-US"/>
        </w:rPr>
        <w:t xml:space="preserve"> 5 to 9 of the Convention</w:t>
      </w:r>
      <w:r w:rsidR="00D30886">
        <w:rPr>
          <w:rFonts w:ascii="Times New Roman" w:hAnsi="Times New Roman"/>
          <w:lang w:val="en-US"/>
        </w:rPr>
        <w:t xml:space="preserve">, </w:t>
      </w:r>
      <w:r w:rsidR="00FB4250">
        <w:rPr>
          <w:rFonts w:ascii="Times New Roman" w:hAnsi="Times New Roman"/>
          <w:lang w:val="en-US"/>
        </w:rPr>
        <w:t>relating to the review of the</w:t>
      </w:r>
      <w:r w:rsidR="00FB4250" w:rsidRPr="00FC6472">
        <w:rPr>
          <w:rFonts w:ascii="Times New Roman" w:hAnsi="Times New Roman"/>
          <w:lang w:val="en-US"/>
        </w:rPr>
        <w:t xml:space="preserve"> Chemical Review Committee (CRC)</w:t>
      </w:r>
      <w:r w:rsidR="00FB4250">
        <w:rPr>
          <w:rFonts w:ascii="Times New Roman" w:hAnsi="Times New Roman"/>
          <w:lang w:val="en-US"/>
        </w:rPr>
        <w:t xml:space="preserve"> of substances proposed </w:t>
      </w:r>
      <w:r w:rsidR="00D30886">
        <w:rPr>
          <w:rFonts w:ascii="Times New Roman" w:hAnsi="Times New Roman"/>
          <w:lang w:val="en-US"/>
        </w:rPr>
        <w:t>for listing</w:t>
      </w:r>
      <w:r w:rsidR="00FB4250">
        <w:rPr>
          <w:rFonts w:ascii="Times New Roman" w:hAnsi="Times New Roman"/>
          <w:lang w:val="en-US"/>
        </w:rPr>
        <w:t xml:space="preserve"> </w:t>
      </w:r>
      <w:r w:rsidR="00D30886">
        <w:rPr>
          <w:rFonts w:ascii="Times New Roman" w:hAnsi="Times New Roman"/>
          <w:lang w:val="en-US"/>
        </w:rPr>
        <w:t xml:space="preserve">under </w:t>
      </w:r>
      <w:r w:rsidR="00FB4250">
        <w:rPr>
          <w:rFonts w:ascii="Times New Roman" w:hAnsi="Times New Roman"/>
          <w:lang w:val="en-US"/>
        </w:rPr>
        <w:t>Annex III.</w:t>
      </w:r>
      <w:r w:rsidR="00FB4250" w:rsidRPr="00FC6472">
        <w:rPr>
          <w:rFonts w:ascii="Times New Roman" w:hAnsi="Times New Roman"/>
          <w:lang w:val="en-US"/>
        </w:rPr>
        <w:t xml:space="preserve"> </w:t>
      </w:r>
    </w:p>
    <w:p w14:paraId="15FE2BA1" w14:textId="77777777" w:rsidR="00FB4250" w:rsidRPr="002072AB" w:rsidRDefault="00FB4250" w:rsidP="00FB4250">
      <w:pPr>
        <w:jc w:val="both"/>
        <w:rPr>
          <w:rFonts w:ascii="Times New Roman" w:hAnsi="Times New Roman"/>
          <w:lang w:val="en-US"/>
        </w:rPr>
      </w:pPr>
    </w:p>
    <w:p w14:paraId="52DC88D8" w14:textId="71A0C241" w:rsidR="00FB4250" w:rsidRDefault="002F1DF5" w:rsidP="00FB4250">
      <w:pPr>
        <w:jc w:val="both"/>
        <w:rPr>
          <w:rFonts w:ascii="Times New Roman" w:hAnsi="Times New Roman"/>
          <w:lang w:val="en-US"/>
        </w:rPr>
      </w:pPr>
      <w:r>
        <w:rPr>
          <w:rFonts w:ascii="Times New Roman" w:hAnsi="Times New Roman"/>
          <w:lang w:val="en-US"/>
        </w:rPr>
        <w:t xml:space="preserve">Following such an approach, </w:t>
      </w:r>
      <w:r w:rsidR="000C303A">
        <w:rPr>
          <w:rFonts w:ascii="Times New Roman" w:hAnsi="Times New Roman"/>
          <w:lang w:val="en-US"/>
        </w:rPr>
        <w:t xml:space="preserve">any party to the Convention could propose the listing of a new chemical </w:t>
      </w:r>
      <w:r w:rsidR="00E52922">
        <w:rPr>
          <w:rFonts w:ascii="Times New Roman" w:hAnsi="Times New Roman"/>
          <w:lang w:val="en-US"/>
        </w:rPr>
        <w:t>in</w:t>
      </w:r>
      <w:r w:rsidR="000C303A">
        <w:rPr>
          <w:rFonts w:ascii="Times New Roman" w:hAnsi="Times New Roman"/>
          <w:lang w:val="en-US"/>
        </w:rPr>
        <w:t xml:space="preserve"> the Annex III list.</w:t>
      </w:r>
      <w:r w:rsidR="007727C8" w:rsidRPr="00FC6472">
        <w:rPr>
          <w:rFonts w:ascii="Times New Roman" w:hAnsi="Times New Roman"/>
          <w:lang w:val="en-US"/>
        </w:rPr>
        <w:t xml:space="preserve"> </w:t>
      </w:r>
      <w:r w:rsidR="000C303A">
        <w:rPr>
          <w:rFonts w:ascii="Times New Roman" w:hAnsi="Times New Roman"/>
          <w:lang w:val="en-US"/>
        </w:rPr>
        <w:t xml:space="preserve">The proposal </w:t>
      </w:r>
      <w:r w:rsidR="007727C8" w:rsidRPr="00FC6472">
        <w:rPr>
          <w:rFonts w:ascii="Times New Roman" w:hAnsi="Times New Roman"/>
          <w:lang w:val="en-US"/>
        </w:rPr>
        <w:t xml:space="preserve">would have to be communicated to the Parties at least </w:t>
      </w:r>
      <w:r w:rsidR="009219B4">
        <w:rPr>
          <w:rFonts w:ascii="Times New Roman" w:hAnsi="Times New Roman"/>
          <w:lang w:val="en-US"/>
        </w:rPr>
        <w:t>six</w:t>
      </w:r>
      <w:r w:rsidR="007727C8" w:rsidRPr="00FC6472">
        <w:rPr>
          <w:rFonts w:ascii="Times New Roman" w:hAnsi="Times New Roman"/>
          <w:lang w:val="en-US"/>
        </w:rPr>
        <w:t xml:space="preserve"> months before the COP and could be adopted with a three-fourths majority vote of the Parties present and voting at the meeting. </w:t>
      </w:r>
    </w:p>
    <w:p w14:paraId="717A99A3" w14:textId="77777777" w:rsidR="00FB4250" w:rsidRDefault="00FB4250" w:rsidP="00FB4250">
      <w:pPr>
        <w:jc w:val="both"/>
        <w:rPr>
          <w:rFonts w:ascii="Times New Roman" w:hAnsi="Times New Roman"/>
          <w:lang w:val="en-US"/>
        </w:rPr>
      </w:pPr>
    </w:p>
    <w:p w14:paraId="0764F3E3" w14:textId="52A7BE38" w:rsidR="007727C8" w:rsidRPr="002072AB" w:rsidRDefault="007727C8" w:rsidP="00FB4250">
      <w:pPr>
        <w:jc w:val="both"/>
        <w:rPr>
          <w:rFonts w:ascii="Times New Roman" w:hAnsi="Times New Roman"/>
          <w:lang w:val="en-US"/>
        </w:rPr>
      </w:pPr>
      <w:r w:rsidRPr="00FC6472">
        <w:rPr>
          <w:rFonts w:ascii="Times New Roman" w:hAnsi="Times New Roman"/>
          <w:lang w:val="en-US"/>
        </w:rPr>
        <w:t>Once adopted</w:t>
      </w:r>
      <w:r w:rsidR="002F1DF5">
        <w:rPr>
          <w:rFonts w:ascii="Times New Roman" w:hAnsi="Times New Roman"/>
          <w:lang w:val="en-US"/>
        </w:rPr>
        <w:t xml:space="preserve"> by the COP</w:t>
      </w:r>
      <w:r w:rsidRPr="00FC6472">
        <w:rPr>
          <w:rFonts w:ascii="Times New Roman" w:hAnsi="Times New Roman"/>
          <w:lang w:val="en-US"/>
        </w:rPr>
        <w:t xml:space="preserve">, the </w:t>
      </w:r>
      <w:r w:rsidR="002F1DF5">
        <w:rPr>
          <w:rFonts w:ascii="Times New Roman" w:hAnsi="Times New Roman"/>
          <w:lang w:val="en-US"/>
        </w:rPr>
        <w:t xml:space="preserve">listing of this new chemical </w:t>
      </w:r>
      <w:r w:rsidR="00E52922">
        <w:rPr>
          <w:rFonts w:ascii="Times New Roman" w:hAnsi="Times New Roman"/>
          <w:lang w:val="en-US"/>
        </w:rPr>
        <w:t>in</w:t>
      </w:r>
      <w:r w:rsidR="002F1DF5">
        <w:rPr>
          <w:rFonts w:ascii="Times New Roman" w:hAnsi="Times New Roman"/>
          <w:lang w:val="en-US"/>
        </w:rPr>
        <w:t xml:space="preserve"> the Annex III list </w:t>
      </w:r>
      <w:r w:rsidRPr="00FC6472">
        <w:rPr>
          <w:rFonts w:ascii="Times New Roman" w:hAnsi="Times New Roman"/>
          <w:lang w:val="en-US"/>
        </w:rPr>
        <w:t xml:space="preserve">would not </w:t>
      </w:r>
      <w:r w:rsidR="00FB4250">
        <w:rPr>
          <w:rFonts w:ascii="Times New Roman" w:hAnsi="Times New Roman"/>
          <w:lang w:val="en-US"/>
        </w:rPr>
        <w:t xml:space="preserve">be subject to </w:t>
      </w:r>
      <w:r w:rsidRPr="00FC6472">
        <w:rPr>
          <w:rFonts w:ascii="Times New Roman" w:hAnsi="Times New Roman"/>
          <w:lang w:val="en-US"/>
        </w:rPr>
        <w:t>a ratification process</w:t>
      </w:r>
      <w:r w:rsidR="002F1DF5">
        <w:rPr>
          <w:rFonts w:ascii="Times New Roman" w:hAnsi="Times New Roman"/>
          <w:lang w:val="en-US"/>
        </w:rPr>
        <w:t>. A</w:t>
      </w:r>
      <w:r w:rsidR="002F1DF5" w:rsidRPr="00FC6472">
        <w:rPr>
          <w:rFonts w:ascii="Times New Roman" w:hAnsi="Times New Roman"/>
          <w:lang w:val="en-US"/>
        </w:rPr>
        <w:t xml:space="preserve">ny Party unable to accept </w:t>
      </w:r>
      <w:r w:rsidR="002F1DF5">
        <w:rPr>
          <w:rFonts w:ascii="Times New Roman" w:hAnsi="Times New Roman"/>
          <w:lang w:val="en-US"/>
        </w:rPr>
        <w:t xml:space="preserve">such a new listing </w:t>
      </w:r>
      <w:r w:rsidR="00E52922">
        <w:rPr>
          <w:rFonts w:ascii="Times New Roman" w:hAnsi="Times New Roman"/>
          <w:lang w:val="en-US"/>
        </w:rPr>
        <w:t>in</w:t>
      </w:r>
      <w:r w:rsidR="002F1DF5" w:rsidRPr="00FC6472">
        <w:rPr>
          <w:rFonts w:ascii="Times New Roman" w:hAnsi="Times New Roman"/>
          <w:lang w:val="en-US"/>
        </w:rPr>
        <w:t xml:space="preserve"> Annex III </w:t>
      </w:r>
      <w:r w:rsidR="002F1DF5">
        <w:rPr>
          <w:rFonts w:ascii="Times New Roman" w:hAnsi="Times New Roman"/>
          <w:lang w:val="en-US"/>
        </w:rPr>
        <w:t xml:space="preserve">would have one year to </w:t>
      </w:r>
      <w:r w:rsidR="002F1DF5" w:rsidRPr="00FC6472">
        <w:rPr>
          <w:rFonts w:ascii="Times New Roman" w:hAnsi="Times New Roman"/>
          <w:lang w:val="en-US"/>
        </w:rPr>
        <w:t>notify the Depositary in writing</w:t>
      </w:r>
      <w:r w:rsidR="002F1DF5">
        <w:rPr>
          <w:rFonts w:ascii="Times New Roman" w:hAnsi="Times New Roman"/>
          <w:lang w:val="en-US"/>
        </w:rPr>
        <w:t xml:space="preserve">. </w:t>
      </w:r>
      <w:r w:rsidR="002C5959">
        <w:rPr>
          <w:rFonts w:ascii="Times New Roman" w:hAnsi="Times New Roman"/>
          <w:lang w:val="en-US"/>
        </w:rPr>
        <w:t>A year after the</w:t>
      </w:r>
      <w:r w:rsidR="002F1DF5" w:rsidRPr="00FC6472">
        <w:rPr>
          <w:rFonts w:ascii="Times New Roman" w:hAnsi="Times New Roman"/>
          <w:lang w:val="en-US"/>
        </w:rPr>
        <w:t xml:space="preserve"> </w:t>
      </w:r>
      <w:r w:rsidR="00FB4250">
        <w:rPr>
          <w:rFonts w:ascii="Times New Roman" w:hAnsi="Times New Roman"/>
          <w:lang w:val="en-US"/>
        </w:rPr>
        <w:t>COP decision</w:t>
      </w:r>
      <w:r w:rsidR="002F1DF5" w:rsidRPr="00FC6472">
        <w:rPr>
          <w:rFonts w:ascii="Times New Roman" w:hAnsi="Times New Roman"/>
          <w:lang w:val="en-US"/>
        </w:rPr>
        <w:t xml:space="preserve">, the amendment </w:t>
      </w:r>
      <w:r w:rsidR="00FB4250">
        <w:rPr>
          <w:rFonts w:ascii="Times New Roman" w:hAnsi="Times New Roman"/>
          <w:lang w:val="en-US"/>
        </w:rPr>
        <w:t xml:space="preserve">listing the new chemical </w:t>
      </w:r>
      <w:r w:rsidR="004536D7">
        <w:rPr>
          <w:rFonts w:ascii="Times New Roman" w:hAnsi="Times New Roman"/>
          <w:lang w:val="en-US"/>
        </w:rPr>
        <w:t>in</w:t>
      </w:r>
      <w:r w:rsidR="00FB4250">
        <w:rPr>
          <w:rFonts w:ascii="Times New Roman" w:hAnsi="Times New Roman"/>
          <w:lang w:val="en-US"/>
        </w:rPr>
        <w:t xml:space="preserve"> Annex III </w:t>
      </w:r>
      <w:r w:rsidR="002F1DF5" w:rsidRPr="00FC6472">
        <w:rPr>
          <w:rFonts w:ascii="Times New Roman" w:hAnsi="Times New Roman"/>
          <w:lang w:val="en-US"/>
        </w:rPr>
        <w:t xml:space="preserve">would enter into force for all Parties that </w:t>
      </w:r>
      <w:r w:rsidR="00EB56F9">
        <w:rPr>
          <w:rFonts w:ascii="Times New Roman" w:hAnsi="Times New Roman"/>
          <w:lang w:val="en-US"/>
        </w:rPr>
        <w:t>had</w:t>
      </w:r>
      <w:r w:rsidR="00EB56F9" w:rsidRPr="00FC6472">
        <w:rPr>
          <w:rFonts w:ascii="Times New Roman" w:hAnsi="Times New Roman"/>
          <w:lang w:val="en-US"/>
        </w:rPr>
        <w:t xml:space="preserve"> </w:t>
      </w:r>
      <w:r w:rsidR="002F1DF5" w:rsidRPr="00FC6472">
        <w:rPr>
          <w:rFonts w:ascii="Times New Roman" w:hAnsi="Times New Roman"/>
          <w:lang w:val="en-US"/>
        </w:rPr>
        <w:t>not submitted such a notification.</w:t>
      </w:r>
      <w:r w:rsidR="002F1DF5" w:rsidRPr="00FC6472">
        <w:rPr>
          <w:rStyle w:val="Marquenotebasdepage"/>
          <w:rFonts w:ascii="Times New Roman" w:hAnsi="Times New Roman"/>
          <w:lang w:val="en-US"/>
        </w:rPr>
        <w:footnoteReference w:id="11"/>
      </w:r>
      <w:r w:rsidRPr="00FC6472">
        <w:rPr>
          <w:rFonts w:ascii="Times New Roman" w:hAnsi="Times New Roman"/>
          <w:lang w:val="en-US"/>
        </w:rPr>
        <w:t xml:space="preserve"> </w:t>
      </w:r>
    </w:p>
    <w:p w14:paraId="46ECEDB5" w14:textId="77777777" w:rsidR="007727C8" w:rsidRPr="002072AB" w:rsidRDefault="007727C8" w:rsidP="007727C8">
      <w:pPr>
        <w:jc w:val="both"/>
        <w:rPr>
          <w:rFonts w:ascii="Times New Roman" w:hAnsi="Times New Roman"/>
          <w:lang w:val="en-US"/>
        </w:rPr>
      </w:pPr>
      <w:r w:rsidRPr="00FC6472">
        <w:rPr>
          <w:rFonts w:ascii="Times New Roman" w:hAnsi="Times New Roman"/>
          <w:lang w:val="en-US"/>
        </w:rPr>
        <w:t xml:space="preserve"> </w:t>
      </w:r>
    </w:p>
    <w:p w14:paraId="0A6812F9" w14:textId="08394A08" w:rsidR="00FB4250" w:rsidRDefault="007727C8" w:rsidP="007727C8">
      <w:pPr>
        <w:jc w:val="both"/>
        <w:rPr>
          <w:rFonts w:ascii="Times New Roman" w:hAnsi="Times New Roman"/>
          <w:lang w:val="en-US"/>
        </w:rPr>
      </w:pPr>
      <w:r w:rsidRPr="00FC6472">
        <w:rPr>
          <w:rFonts w:ascii="Times New Roman" w:hAnsi="Times New Roman"/>
          <w:lang w:val="en-US"/>
        </w:rPr>
        <w:t>As a consequence, Part</w:t>
      </w:r>
      <w:r w:rsidR="004536D7">
        <w:rPr>
          <w:rFonts w:ascii="Times New Roman" w:hAnsi="Times New Roman"/>
          <w:lang w:val="en-US"/>
        </w:rPr>
        <w:t>ies</w:t>
      </w:r>
      <w:r w:rsidRPr="00FC6472">
        <w:rPr>
          <w:rFonts w:ascii="Times New Roman" w:hAnsi="Times New Roman"/>
          <w:lang w:val="en-US"/>
        </w:rPr>
        <w:t xml:space="preserve"> </w:t>
      </w:r>
      <w:r w:rsidR="00FB4250">
        <w:rPr>
          <w:rFonts w:ascii="Times New Roman" w:hAnsi="Times New Roman"/>
          <w:lang w:val="en-US"/>
        </w:rPr>
        <w:t>c</w:t>
      </w:r>
      <w:r w:rsidRPr="00FC6472">
        <w:rPr>
          <w:rFonts w:ascii="Times New Roman" w:hAnsi="Times New Roman"/>
          <w:lang w:val="en-US"/>
        </w:rPr>
        <w:t xml:space="preserve">ould decide </w:t>
      </w:r>
      <w:r w:rsidR="00FB4250">
        <w:rPr>
          <w:rFonts w:ascii="Times New Roman" w:hAnsi="Times New Roman"/>
          <w:lang w:val="en-US"/>
        </w:rPr>
        <w:t xml:space="preserve">to </w:t>
      </w:r>
      <w:r w:rsidRPr="00FC6472">
        <w:rPr>
          <w:rFonts w:ascii="Times New Roman" w:hAnsi="Times New Roman"/>
          <w:lang w:val="en-US"/>
        </w:rPr>
        <w:t xml:space="preserve">not be </w:t>
      </w:r>
      <w:r w:rsidR="00FB4250">
        <w:rPr>
          <w:rFonts w:ascii="Times New Roman" w:hAnsi="Times New Roman"/>
          <w:lang w:val="en-US"/>
        </w:rPr>
        <w:t xml:space="preserve">subject to the PIC </w:t>
      </w:r>
      <w:r w:rsidR="004536D7">
        <w:rPr>
          <w:rFonts w:ascii="Times New Roman" w:hAnsi="Times New Roman"/>
          <w:lang w:val="en-US"/>
        </w:rPr>
        <w:t>p</w:t>
      </w:r>
      <w:r w:rsidRPr="00FC6472">
        <w:rPr>
          <w:rFonts w:ascii="Times New Roman" w:hAnsi="Times New Roman"/>
          <w:lang w:val="en-US"/>
        </w:rPr>
        <w:t xml:space="preserve">rocedure with regards to one or several chemical substances, after the substance in question has been listed in Annex III. </w:t>
      </w:r>
    </w:p>
    <w:p w14:paraId="55AC823E" w14:textId="77777777" w:rsidR="00FB4250" w:rsidRDefault="00FB4250" w:rsidP="007727C8">
      <w:pPr>
        <w:jc w:val="both"/>
        <w:rPr>
          <w:rFonts w:ascii="Times New Roman" w:hAnsi="Times New Roman"/>
          <w:lang w:val="en-US"/>
        </w:rPr>
      </w:pPr>
    </w:p>
    <w:p w14:paraId="560D6FAB" w14:textId="18D9C6A9" w:rsidR="007727C8" w:rsidRPr="002072AB" w:rsidRDefault="00FB4250" w:rsidP="007727C8">
      <w:pPr>
        <w:jc w:val="both"/>
        <w:rPr>
          <w:rFonts w:ascii="Times New Roman" w:hAnsi="Times New Roman"/>
          <w:lang w:val="en-US"/>
        </w:rPr>
      </w:pPr>
      <w:r>
        <w:rPr>
          <w:rFonts w:ascii="Times New Roman" w:hAnsi="Times New Roman"/>
          <w:lang w:val="en-US"/>
        </w:rPr>
        <w:t xml:space="preserve">The CRC </w:t>
      </w:r>
      <w:r w:rsidR="00CF18B7">
        <w:rPr>
          <w:rFonts w:ascii="Times New Roman" w:hAnsi="Times New Roman"/>
          <w:lang w:val="en-US"/>
        </w:rPr>
        <w:t xml:space="preserve">currently serves as a scientific expert committee to the Convention and </w:t>
      </w:r>
      <w:r>
        <w:rPr>
          <w:rFonts w:ascii="Times New Roman" w:hAnsi="Times New Roman"/>
          <w:lang w:val="en-US"/>
        </w:rPr>
        <w:t>plays a</w:t>
      </w:r>
      <w:r w:rsidR="00CF18B7">
        <w:rPr>
          <w:rFonts w:ascii="Times New Roman" w:hAnsi="Times New Roman"/>
          <w:lang w:val="en-US"/>
        </w:rPr>
        <w:t xml:space="preserve"> critical role its </w:t>
      </w:r>
      <w:r>
        <w:rPr>
          <w:rFonts w:ascii="Times New Roman" w:hAnsi="Times New Roman"/>
          <w:lang w:val="en-US"/>
        </w:rPr>
        <w:t xml:space="preserve">effectiveness. </w:t>
      </w:r>
      <w:r w:rsidR="00714E58">
        <w:rPr>
          <w:rFonts w:ascii="Times New Roman" w:hAnsi="Times New Roman"/>
          <w:lang w:val="en-US"/>
        </w:rPr>
        <w:t>The CRC’s role has never been questioned at any stage of the discussions on enhancing the effectiveness of the Convention</w:t>
      </w:r>
      <w:r w:rsidR="00EB56F9">
        <w:rPr>
          <w:rFonts w:ascii="Times New Roman" w:hAnsi="Times New Roman"/>
          <w:lang w:val="en-US"/>
        </w:rPr>
        <w:t>,</w:t>
      </w:r>
      <w:r w:rsidR="00714E58">
        <w:rPr>
          <w:rFonts w:ascii="Times New Roman" w:hAnsi="Times New Roman"/>
          <w:lang w:val="en-US"/>
        </w:rPr>
        <w:t xml:space="preserve"> and it does not appear that parties to the Convention wish to eliminate it from the Annex III listing procedure. It therefore </w:t>
      </w:r>
      <w:r w:rsidR="004536D7">
        <w:rPr>
          <w:rFonts w:ascii="Times New Roman" w:hAnsi="Times New Roman"/>
          <w:lang w:val="en-US"/>
        </w:rPr>
        <w:t xml:space="preserve">seems </w:t>
      </w:r>
      <w:r w:rsidR="00714E58">
        <w:rPr>
          <w:rFonts w:ascii="Times New Roman" w:hAnsi="Times New Roman"/>
          <w:lang w:val="en-US"/>
        </w:rPr>
        <w:t>unadvisable to align the procedure to list chemicals on the Annex III list with the procedure to modify other annexes to the Convention.</w:t>
      </w:r>
    </w:p>
    <w:p w14:paraId="5C81E995" w14:textId="77777777" w:rsidR="007727C8" w:rsidRPr="002072AB" w:rsidRDefault="007727C8" w:rsidP="007727C8">
      <w:pPr>
        <w:jc w:val="both"/>
        <w:rPr>
          <w:rFonts w:ascii="Times New Roman" w:hAnsi="Times New Roman"/>
          <w:lang w:val="en-US"/>
        </w:rPr>
      </w:pPr>
    </w:p>
    <w:p w14:paraId="7EEAD9A2" w14:textId="75A70C3F" w:rsidR="007727C8" w:rsidRPr="005761D7" w:rsidRDefault="00603F7A" w:rsidP="007727C8">
      <w:pPr>
        <w:jc w:val="both"/>
        <w:rPr>
          <w:rFonts w:ascii="Times New Roman" w:hAnsi="Times New Roman"/>
          <w:i/>
          <w:lang w:val="en-US"/>
        </w:rPr>
      </w:pPr>
      <w:r w:rsidRPr="00603F7A">
        <w:rPr>
          <w:rFonts w:ascii="Times New Roman" w:hAnsi="Times New Roman"/>
          <w:i/>
          <w:lang w:val="en-US"/>
        </w:rPr>
        <w:t>2.1.2</w:t>
      </w:r>
      <w:r w:rsidR="00ED0D79">
        <w:rPr>
          <w:rFonts w:ascii="Times New Roman" w:hAnsi="Times New Roman"/>
          <w:i/>
          <w:lang w:val="en-US"/>
        </w:rPr>
        <w:t>.</w:t>
      </w:r>
      <w:r w:rsidRPr="00603F7A">
        <w:rPr>
          <w:rFonts w:ascii="Times New Roman" w:hAnsi="Times New Roman"/>
          <w:i/>
          <w:lang w:val="en-US"/>
        </w:rPr>
        <w:t xml:space="preserve"> Removing the consensus requirement</w:t>
      </w:r>
    </w:p>
    <w:p w14:paraId="12AC1A42" w14:textId="77777777" w:rsidR="007727C8" w:rsidRDefault="007727C8" w:rsidP="007727C8">
      <w:pPr>
        <w:jc w:val="both"/>
        <w:rPr>
          <w:rFonts w:ascii="Times New Roman" w:hAnsi="Times New Roman"/>
          <w:lang w:val="en-US"/>
        </w:rPr>
      </w:pPr>
    </w:p>
    <w:p w14:paraId="6F7819EF" w14:textId="26B2713A" w:rsidR="007727C8" w:rsidRDefault="007727C8" w:rsidP="007727C8">
      <w:pPr>
        <w:jc w:val="both"/>
        <w:rPr>
          <w:rFonts w:ascii="Times New Roman" w:hAnsi="Times New Roman"/>
          <w:lang w:val="en-US"/>
        </w:rPr>
      </w:pPr>
      <w:r w:rsidRPr="00FC6472">
        <w:rPr>
          <w:rFonts w:ascii="Times New Roman" w:hAnsi="Times New Roman"/>
          <w:lang w:val="en-US"/>
        </w:rPr>
        <w:t xml:space="preserve">Another </w:t>
      </w:r>
      <w:r w:rsidR="00BF09C6">
        <w:rPr>
          <w:rFonts w:ascii="Times New Roman" w:hAnsi="Times New Roman"/>
          <w:lang w:val="en-US"/>
        </w:rPr>
        <w:t>way to amend the decision-making procedure for listing in Annex III</w:t>
      </w:r>
      <w:r w:rsidRPr="00FC6472">
        <w:rPr>
          <w:rFonts w:ascii="Times New Roman" w:hAnsi="Times New Roman"/>
          <w:lang w:val="en-US"/>
        </w:rPr>
        <w:t xml:space="preserve"> </w:t>
      </w:r>
      <w:r w:rsidR="002C5959">
        <w:rPr>
          <w:rFonts w:ascii="Times New Roman" w:hAnsi="Times New Roman"/>
          <w:lang w:val="en-US"/>
        </w:rPr>
        <w:t>would be</w:t>
      </w:r>
      <w:r w:rsidRPr="00FC6472">
        <w:rPr>
          <w:rFonts w:ascii="Times New Roman" w:hAnsi="Times New Roman"/>
          <w:lang w:val="en-US"/>
        </w:rPr>
        <w:t xml:space="preserve"> </w:t>
      </w:r>
      <w:r w:rsidR="00BF09C6">
        <w:rPr>
          <w:rFonts w:ascii="Times New Roman" w:hAnsi="Times New Roman"/>
          <w:lang w:val="en-US"/>
        </w:rPr>
        <w:t xml:space="preserve">to </w:t>
      </w:r>
      <w:r w:rsidRPr="00FC6472">
        <w:rPr>
          <w:rFonts w:ascii="Times New Roman" w:hAnsi="Times New Roman"/>
          <w:lang w:val="en-US"/>
        </w:rPr>
        <w:t>delet</w:t>
      </w:r>
      <w:r w:rsidR="00BF09C6">
        <w:rPr>
          <w:rFonts w:ascii="Times New Roman" w:hAnsi="Times New Roman"/>
          <w:lang w:val="en-US"/>
        </w:rPr>
        <w:t>e</w:t>
      </w:r>
      <w:r w:rsidRPr="00FC6472">
        <w:rPr>
          <w:rFonts w:ascii="Times New Roman" w:hAnsi="Times New Roman"/>
          <w:lang w:val="en-US"/>
        </w:rPr>
        <w:t xml:space="preserve"> paragraph </w:t>
      </w:r>
      <w:r w:rsidR="008934B8">
        <w:rPr>
          <w:rFonts w:ascii="Times New Roman" w:hAnsi="Times New Roman"/>
          <w:lang w:val="en-US"/>
        </w:rPr>
        <w:t>5.b</w:t>
      </w:r>
      <w:r w:rsidRPr="00FC6472">
        <w:rPr>
          <w:rFonts w:ascii="Times New Roman" w:hAnsi="Times New Roman"/>
          <w:lang w:val="en-US"/>
        </w:rPr>
        <w:t xml:space="preserve"> of Article 22, which poses the requirement for consensus</w:t>
      </w:r>
      <w:r w:rsidR="00ED0D79">
        <w:rPr>
          <w:rFonts w:ascii="Times New Roman" w:hAnsi="Times New Roman"/>
          <w:lang w:val="en-US"/>
        </w:rPr>
        <w:t>,</w:t>
      </w:r>
      <w:r w:rsidR="00D37833">
        <w:rPr>
          <w:rFonts w:ascii="Times New Roman" w:hAnsi="Times New Roman"/>
          <w:lang w:val="en-US"/>
        </w:rPr>
        <w:t xml:space="preserve"> or </w:t>
      </w:r>
      <w:r w:rsidR="00BF09C6">
        <w:rPr>
          <w:rFonts w:ascii="Times New Roman" w:hAnsi="Times New Roman"/>
          <w:lang w:val="en-US"/>
        </w:rPr>
        <w:t xml:space="preserve">to </w:t>
      </w:r>
      <w:r w:rsidR="00D37833">
        <w:rPr>
          <w:rFonts w:ascii="Times New Roman" w:hAnsi="Times New Roman"/>
          <w:lang w:val="en-US"/>
        </w:rPr>
        <w:t>modify</w:t>
      </w:r>
      <w:r w:rsidR="00BF09C6">
        <w:rPr>
          <w:rFonts w:ascii="Times New Roman" w:hAnsi="Times New Roman"/>
          <w:lang w:val="en-US"/>
        </w:rPr>
        <w:t xml:space="preserve"> this paragraph</w:t>
      </w:r>
      <w:r w:rsidR="00D37833">
        <w:rPr>
          <w:rFonts w:ascii="Times New Roman" w:hAnsi="Times New Roman"/>
          <w:lang w:val="en-US"/>
        </w:rPr>
        <w:t xml:space="preserve"> </w:t>
      </w:r>
      <w:r w:rsidR="00BF09C6">
        <w:rPr>
          <w:rFonts w:ascii="Times New Roman" w:hAnsi="Times New Roman"/>
          <w:lang w:val="en-US"/>
        </w:rPr>
        <w:t>to require</w:t>
      </w:r>
      <w:r w:rsidR="00D37833">
        <w:rPr>
          <w:rFonts w:ascii="Times New Roman" w:hAnsi="Times New Roman"/>
          <w:lang w:val="en-US"/>
        </w:rPr>
        <w:t xml:space="preserve"> a specific majority</w:t>
      </w:r>
      <w:r w:rsidRPr="00FC6472">
        <w:rPr>
          <w:rFonts w:ascii="Times New Roman" w:hAnsi="Times New Roman"/>
          <w:lang w:val="en-US"/>
        </w:rPr>
        <w:t xml:space="preserve">. </w:t>
      </w:r>
    </w:p>
    <w:p w14:paraId="6D87DC5C" w14:textId="77777777" w:rsidR="007727C8" w:rsidRDefault="007727C8" w:rsidP="007727C8">
      <w:pPr>
        <w:jc w:val="both"/>
        <w:rPr>
          <w:rFonts w:ascii="Times New Roman" w:hAnsi="Times New Roman"/>
          <w:lang w:val="en-US"/>
        </w:rPr>
      </w:pPr>
    </w:p>
    <w:p w14:paraId="101D9D0D" w14:textId="6BE58100" w:rsidR="007727C8" w:rsidRDefault="000E28FD" w:rsidP="007727C8">
      <w:pPr>
        <w:jc w:val="both"/>
        <w:rPr>
          <w:rFonts w:ascii="Times New Roman" w:hAnsi="Times New Roman"/>
          <w:lang w:val="en-US"/>
        </w:rPr>
      </w:pPr>
      <w:r>
        <w:rPr>
          <w:rFonts w:ascii="Times New Roman" w:hAnsi="Times New Roman"/>
          <w:lang w:val="en-US"/>
        </w:rPr>
        <w:t xml:space="preserve">However, </w:t>
      </w:r>
      <w:r w:rsidR="007727C8">
        <w:rPr>
          <w:rFonts w:ascii="Times New Roman" w:hAnsi="Times New Roman"/>
          <w:lang w:val="en-US"/>
        </w:rPr>
        <w:t>Article 22</w:t>
      </w:r>
      <w:r w:rsidR="00CA152E">
        <w:rPr>
          <w:rFonts w:ascii="Times New Roman" w:hAnsi="Times New Roman"/>
          <w:lang w:val="en-US"/>
        </w:rPr>
        <w:t>.</w:t>
      </w:r>
      <w:r w:rsidR="007727C8">
        <w:rPr>
          <w:rFonts w:ascii="Times New Roman" w:hAnsi="Times New Roman"/>
          <w:lang w:val="en-US"/>
        </w:rPr>
        <w:t>5</w:t>
      </w:r>
      <w:r w:rsidR="008934B8">
        <w:rPr>
          <w:rFonts w:ascii="Times New Roman" w:hAnsi="Times New Roman"/>
          <w:lang w:val="en-US"/>
        </w:rPr>
        <w:t>.c</w:t>
      </w:r>
      <w:r w:rsidR="007727C8">
        <w:rPr>
          <w:rFonts w:ascii="Times New Roman" w:hAnsi="Times New Roman"/>
          <w:lang w:val="en-US"/>
        </w:rPr>
        <w:t xml:space="preserve"> provides that the listing </w:t>
      </w:r>
      <w:r w:rsidR="003B1F08">
        <w:rPr>
          <w:rFonts w:ascii="Times New Roman" w:hAnsi="Times New Roman"/>
          <w:lang w:val="en-US"/>
        </w:rPr>
        <w:t>in</w:t>
      </w:r>
      <w:r w:rsidR="007727C8">
        <w:rPr>
          <w:rFonts w:ascii="Times New Roman" w:hAnsi="Times New Roman"/>
          <w:lang w:val="en-US"/>
        </w:rPr>
        <w:t xml:space="preserve"> Annex III shall enter into force for all parties on a date to be specified in the decision, </w:t>
      </w:r>
      <w:r w:rsidR="00676D97">
        <w:rPr>
          <w:rFonts w:ascii="Times New Roman" w:hAnsi="Times New Roman"/>
          <w:lang w:val="en-US"/>
        </w:rPr>
        <w:t xml:space="preserve">and </w:t>
      </w:r>
      <w:r w:rsidR="007727C8">
        <w:rPr>
          <w:rFonts w:ascii="Times New Roman" w:hAnsi="Times New Roman"/>
          <w:lang w:val="en-US"/>
        </w:rPr>
        <w:t xml:space="preserve">it does not provide for the possibility </w:t>
      </w:r>
      <w:r>
        <w:rPr>
          <w:rFonts w:ascii="Times New Roman" w:hAnsi="Times New Roman"/>
          <w:lang w:val="en-US"/>
        </w:rPr>
        <w:t>for</w:t>
      </w:r>
      <w:r w:rsidR="007727C8">
        <w:rPr>
          <w:rFonts w:ascii="Times New Roman" w:hAnsi="Times New Roman"/>
          <w:lang w:val="en-US"/>
        </w:rPr>
        <w:t xml:space="preserve"> any party </w:t>
      </w:r>
      <w:r>
        <w:rPr>
          <w:rFonts w:ascii="Times New Roman" w:hAnsi="Times New Roman"/>
          <w:lang w:val="en-US"/>
        </w:rPr>
        <w:t xml:space="preserve">to opt out of the Annex III listing decision. </w:t>
      </w:r>
      <w:r w:rsidR="00676D97">
        <w:rPr>
          <w:rFonts w:ascii="Times New Roman" w:hAnsi="Times New Roman"/>
          <w:lang w:val="en-US"/>
        </w:rPr>
        <w:t>Amending</w:t>
      </w:r>
      <w:r>
        <w:rPr>
          <w:rFonts w:ascii="Times New Roman" w:hAnsi="Times New Roman"/>
          <w:lang w:val="en-US"/>
        </w:rPr>
        <w:t xml:space="preserve"> this procedure to allow such a listing decision to be adopted without consensus while </w:t>
      </w:r>
      <w:r w:rsidR="00676D97">
        <w:rPr>
          <w:rFonts w:ascii="Times New Roman" w:hAnsi="Times New Roman"/>
          <w:lang w:val="en-US"/>
        </w:rPr>
        <w:t xml:space="preserve">simultaneously </w:t>
      </w:r>
      <w:r>
        <w:rPr>
          <w:rFonts w:ascii="Times New Roman" w:hAnsi="Times New Roman"/>
          <w:lang w:val="en-US"/>
        </w:rPr>
        <w:t>subjecting all parties to th</w:t>
      </w:r>
      <w:r w:rsidR="00676D97">
        <w:rPr>
          <w:rFonts w:ascii="Times New Roman" w:hAnsi="Times New Roman"/>
          <w:lang w:val="en-US"/>
        </w:rPr>
        <w:t>at</w:t>
      </w:r>
      <w:r>
        <w:rPr>
          <w:rFonts w:ascii="Times New Roman" w:hAnsi="Times New Roman"/>
          <w:lang w:val="en-US"/>
        </w:rPr>
        <w:t xml:space="preserve"> </w:t>
      </w:r>
      <w:r w:rsidR="00676D97">
        <w:rPr>
          <w:rFonts w:ascii="Times New Roman" w:hAnsi="Times New Roman"/>
          <w:lang w:val="en-US"/>
        </w:rPr>
        <w:t xml:space="preserve">same </w:t>
      </w:r>
      <w:r>
        <w:rPr>
          <w:rFonts w:ascii="Times New Roman" w:hAnsi="Times New Roman"/>
          <w:lang w:val="en-US"/>
        </w:rPr>
        <w:t xml:space="preserve">decision </w:t>
      </w:r>
      <w:r w:rsidR="007727C8">
        <w:rPr>
          <w:rFonts w:ascii="Times New Roman" w:hAnsi="Times New Roman"/>
          <w:lang w:val="en-US"/>
        </w:rPr>
        <w:t>could prove a sticking point for a number of countries</w:t>
      </w:r>
      <w:r w:rsidR="00ED0D79">
        <w:rPr>
          <w:rFonts w:ascii="Times New Roman" w:hAnsi="Times New Roman"/>
          <w:lang w:val="en-US"/>
        </w:rPr>
        <w:t>, which could</w:t>
      </w:r>
      <w:r w:rsidR="007727C8">
        <w:rPr>
          <w:rFonts w:ascii="Times New Roman" w:hAnsi="Times New Roman"/>
          <w:lang w:val="en-US"/>
        </w:rPr>
        <w:t xml:space="preserve"> slow or hinder ratification of the amendment and thus i</w:t>
      </w:r>
      <w:r w:rsidR="005825F4">
        <w:rPr>
          <w:rFonts w:ascii="Times New Roman" w:hAnsi="Times New Roman"/>
          <w:lang w:val="en-US"/>
        </w:rPr>
        <w:t>t</w:t>
      </w:r>
      <w:r w:rsidR="007727C8">
        <w:rPr>
          <w:rFonts w:ascii="Times New Roman" w:hAnsi="Times New Roman"/>
          <w:lang w:val="en-US"/>
        </w:rPr>
        <w:t xml:space="preserve">s entry into force. </w:t>
      </w:r>
    </w:p>
    <w:p w14:paraId="5B1EB74A" w14:textId="77777777" w:rsidR="007727C8" w:rsidRDefault="007727C8" w:rsidP="007727C8">
      <w:pPr>
        <w:jc w:val="both"/>
        <w:rPr>
          <w:rFonts w:ascii="Times New Roman" w:hAnsi="Times New Roman"/>
          <w:lang w:val="en-US"/>
        </w:rPr>
      </w:pPr>
    </w:p>
    <w:p w14:paraId="446A7B3B" w14:textId="2709D4BC" w:rsidR="007727C8" w:rsidRPr="002072AB" w:rsidRDefault="007727C8" w:rsidP="007727C8">
      <w:pPr>
        <w:jc w:val="both"/>
        <w:rPr>
          <w:rFonts w:ascii="Times New Roman" w:hAnsi="Times New Roman"/>
          <w:lang w:val="en-US"/>
        </w:rPr>
      </w:pPr>
      <w:r>
        <w:rPr>
          <w:rFonts w:ascii="Times New Roman" w:hAnsi="Times New Roman"/>
          <w:lang w:val="en-US"/>
        </w:rPr>
        <w:t xml:space="preserve">It would </w:t>
      </w:r>
      <w:r w:rsidR="000E28FD">
        <w:rPr>
          <w:rFonts w:ascii="Times New Roman" w:hAnsi="Times New Roman"/>
          <w:lang w:val="en-US"/>
        </w:rPr>
        <w:t xml:space="preserve">be </w:t>
      </w:r>
      <w:r>
        <w:rPr>
          <w:rFonts w:ascii="Times New Roman" w:hAnsi="Times New Roman"/>
          <w:lang w:val="en-US"/>
        </w:rPr>
        <w:t xml:space="preserve">possible to address that difficulty by </w:t>
      </w:r>
      <w:r w:rsidR="003B1F08">
        <w:rPr>
          <w:rFonts w:ascii="Times New Roman" w:hAnsi="Times New Roman"/>
          <w:lang w:val="en-US"/>
        </w:rPr>
        <w:t>modifying</w:t>
      </w:r>
      <w:r>
        <w:rPr>
          <w:rFonts w:ascii="Times New Roman" w:hAnsi="Times New Roman"/>
          <w:lang w:val="en-US"/>
        </w:rPr>
        <w:t xml:space="preserve"> Article 22</w:t>
      </w:r>
      <w:r w:rsidR="00CA152E">
        <w:rPr>
          <w:rFonts w:ascii="Times New Roman" w:hAnsi="Times New Roman"/>
          <w:lang w:val="en-US"/>
        </w:rPr>
        <w:t>.</w:t>
      </w:r>
      <w:r w:rsidR="008934B8">
        <w:rPr>
          <w:rFonts w:ascii="Times New Roman" w:hAnsi="Times New Roman"/>
          <w:lang w:val="en-US"/>
        </w:rPr>
        <w:t>5.c</w:t>
      </w:r>
      <w:r>
        <w:rPr>
          <w:rFonts w:ascii="Times New Roman" w:hAnsi="Times New Roman"/>
          <w:lang w:val="en-US"/>
        </w:rPr>
        <w:t xml:space="preserve"> to provide a possibility for parties to opt out of the listing of specific substances. </w:t>
      </w:r>
      <w:r w:rsidR="004B2792">
        <w:rPr>
          <w:rFonts w:ascii="Times New Roman" w:hAnsi="Times New Roman"/>
          <w:lang w:val="en-US"/>
        </w:rPr>
        <w:t>Such a change</w:t>
      </w:r>
      <w:r>
        <w:rPr>
          <w:rFonts w:ascii="Times New Roman" w:hAnsi="Times New Roman"/>
          <w:lang w:val="en-US"/>
        </w:rPr>
        <w:t xml:space="preserve"> would further </w:t>
      </w:r>
      <w:r w:rsidR="00C825C5">
        <w:rPr>
          <w:rFonts w:ascii="Times New Roman" w:hAnsi="Times New Roman"/>
          <w:lang w:val="en-US"/>
        </w:rPr>
        <w:t xml:space="preserve">complicate </w:t>
      </w:r>
      <w:r>
        <w:rPr>
          <w:rFonts w:ascii="Times New Roman" w:hAnsi="Times New Roman"/>
          <w:lang w:val="en-US"/>
        </w:rPr>
        <w:t xml:space="preserve">the Convention and potentially weaken it, </w:t>
      </w:r>
      <w:r w:rsidR="0098357A">
        <w:rPr>
          <w:rFonts w:ascii="Times New Roman" w:hAnsi="Times New Roman"/>
          <w:lang w:val="en-US"/>
        </w:rPr>
        <w:t>by creating a multi</w:t>
      </w:r>
      <w:r w:rsidR="004B2792">
        <w:rPr>
          <w:rFonts w:ascii="Times New Roman" w:hAnsi="Times New Roman"/>
          <w:lang w:val="en-US"/>
        </w:rPr>
        <w:t>-</w:t>
      </w:r>
      <w:r w:rsidR="0098357A">
        <w:rPr>
          <w:rFonts w:ascii="Times New Roman" w:hAnsi="Times New Roman"/>
          <w:lang w:val="en-US"/>
        </w:rPr>
        <w:t xml:space="preserve">tier convention </w:t>
      </w:r>
      <w:r w:rsidR="00686C5E">
        <w:rPr>
          <w:rFonts w:ascii="Times New Roman" w:hAnsi="Times New Roman"/>
          <w:lang w:val="en-US"/>
        </w:rPr>
        <w:t xml:space="preserve">where parties could unilaterally decide to not be subject to </w:t>
      </w:r>
      <w:r w:rsidR="0098357A">
        <w:rPr>
          <w:rFonts w:ascii="Times New Roman" w:hAnsi="Times New Roman"/>
          <w:lang w:val="en-US"/>
        </w:rPr>
        <w:t xml:space="preserve">the PIC procedure </w:t>
      </w:r>
      <w:r w:rsidR="00686C5E">
        <w:rPr>
          <w:rFonts w:ascii="Times New Roman" w:hAnsi="Times New Roman"/>
          <w:lang w:val="en-US"/>
        </w:rPr>
        <w:t>with regards to the trade of certain substances</w:t>
      </w:r>
      <w:r w:rsidR="004B2792">
        <w:rPr>
          <w:rFonts w:ascii="Times New Roman" w:hAnsi="Times New Roman"/>
          <w:lang w:val="en-US"/>
        </w:rPr>
        <w:t>. However,</w:t>
      </w:r>
      <w:r w:rsidR="0098357A">
        <w:rPr>
          <w:rFonts w:ascii="Times New Roman" w:hAnsi="Times New Roman"/>
          <w:lang w:val="en-US"/>
        </w:rPr>
        <w:t xml:space="preserve"> </w:t>
      </w:r>
      <w:r>
        <w:rPr>
          <w:rFonts w:ascii="Times New Roman" w:hAnsi="Times New Roman"/>
          <w:lang w:val="en-US"/>
        </w:rPr>
        <w:t xml:space="preserve">it would </w:t>
      </w:r>
      <w:r w:rsidR="00FB3DFA">
        <w:rPr>
          <w:rFonts w:ascii="Times New Roman" w:hAnsi="Times New Roman"/>
          <w:lang w:val="en-US"/>
        </w:rPr>
        <w:t xml:space="preserve">address one of the issues identified as an obstacle to the Convention’s efficiency and would </w:t>
      </w:r>
      <w:r>
        <w:rPr>
          <w:rFonts w:ascii="Times New Roman" w:hAnsi="Times New Roman"/>
          <w:lang w:val="en-US"/>
        </w:rPr>
        <w:t xml:space="preserve">most likely </w:t>
      </w:r>
      <w:r w:rsidR="00FF566D">
        <w:rPr>
          <w:rFonts w:ascii="Times New Roman" w:hAnsi="Times New Roman"/>
          <w:lang w:val="en-US"/>
        </w:rPr>
        <w:t xml:space="preserve">improve </w:t>
      </w:r>
      <w:r>
        <w:rPr>
          <w:rFonts w:ascii="Times New Roman" w:hAnsi="Times New Roman"/>
          <w:lang w:val="en-US"/>
        </w:rPr>
        <w:t>the chances of entry into force</w:t>
      </w:r>
      <w:r w:rsidR="000E28FD">
        <w:rPr>
          <w:rFonts w:ascii="Times New Roman" w:hAnsi="Times New Roman"/>
          <w:lang w:val="en-US"/>
        </w:rPr>
        <w:t xml:space="preserve"> of an amendment modifying the procedure to list a substance on the Annex III list</w:t>
      </w:r>
      <w:r>
        <w:rPr>
          <w:rFonts w:ascii="Times New Roman" w:hAnsi="Times New Roman"/>
          <w:lang w:val="en-US"/>
        </w:rPr>
        <w:t xml:space="preserve">. </w:t>
      </w:r>
    </w:p>
    <w:p w14:paraId="44066F1C" w14:textId="77777777" w:rsidR="00961662" w:rsidRPr="002072AB" w:rsidRDefault="00961662">
      <w:pPr>
        <w:jc w:val="both"/>
        <w:rPr>
          <w:rFonts w:ascii="Times New Roman" w:hAnsi="Times New Roman"/>
          <w:lang w:val="en-US"/>
        </w:rPr>
      </w:pPr>
    </w:p>
    <w:p w14:paraId="45E1557F" w14:textId="77777777" w:rsidR="00397514" w:rsidRPr="005761D7" w:rsidRDefault="00603F7A">
      <w:pPr>
        <w:jc w:val="both"/>
        <w:rPr>
          <w:rFonts w:ascii="Times New Roman" w:hAnsi="Times New Roman"/>
          <w:i/>
          <w:lang w:val="en-US"/>
        </w:rPr>
      </w:pPr>
      <w:r w:rsidRPr="00603F7A">
        <w:rPr>
          <w:rFonts w:ascii="Times New Roman" w:hAnsi="Times New Roman"/>
          <w:i/>
          <w:lang w:val="en-US"/>
        </w:rPr>
        <w:t>2.2. Period between entry into force and full ratification by all parties</w:t>
      </w:r>
    </w:p>
    <w:p w14:paraId="64A15529" w14:textId="77777777" w:rsidR="00FF566D" w:rsidRPr="002072AB" w:rsidRDefault="00FF566D">
      <w:pPr>
        <w:jc w:val="both"/>
        <w:rPr>
          <w:rFonts w:ascii="Times New Roman" w:hAnsi="Times New Roman"/>
          <w:lang w:val="en-US"/>
        </w:rPr>
      </w:pPr>
    </w:p>
    <w:p w14:paraId="543BD51D" w14:textId="3F32FAED" w:rsidR="00F7308D" w:rsidRPr="00A0483F" w:rsidRDefault="00FF566D" w:rsidP="00F7308D">
      <w:pPr>
        <w:jc w:val="both"/>
        <w:rPr>
          <w:rFonts w:ascii="Times New Roman" w:hAnsi="Times New Roman"/>
          <w:lang w:val="en-US"/>
        </w:rPr>
      </w:pPr>
      <w:r>
        <w:rPr>
          <w:rFonts w:ascii="Times New Roman" w:hAnsi="Times New Roman"/>
          <w:lang w:val="en-US"/>
        </w:rPr>
        <w:t>Once three-fourth</w:t>
      </w:r>
      <w:r w:rsidR="00A760BD">
        <w:rPr>
          <w:rFonts w:ascii="Times New Roman" w:hAnsi="Times New Roman"/>
          <w:lang w:val="en-US"/>
        </w:rPr>
        <w:t>s</w:t>
      </w:r>
      <w:r>
        <w:rPr>
          <w:rFonts w:ascii="Times New Roman" w:hAnsi="Times New Roman"/>
          <w:lang w:val="en-US"/>
        </w:rPr>
        <w:t xml:space="preserve"> of the Parties have ratified </w:t>
      </w:r>
      <w:r w:rsidR="00F7308D">
        <w:rPr>
          <w:rFonts w:ascii="Times New Roman" w:hAnsi="Times New Roman"/>
          <w:lang w:val="en-US"/>
        </w:rPr>
        <w:t>an amendment to the Convention</w:t>
      </w:r>
      <w:r>
        <w:rPr>
          <w:rFonts w:ascii="Times New Roman" w:hAnsi="Times New Roman"/>
          <w:lang w:val="en-US"/>
        </w:rPr>
        <w:t xml:space="preserve">, the amendment goes into force for those parties who have ratified the amendment. Therefore, it is possible for an amendment to be in force for some of the parties and not others. </w:t>
      </w:r>
      <w:r w:rsidR="00F7308D">
        <w:rPr>
          <w:rFonts w:ascii="Times New Roman" w:hAnsi="Times New Roman"/>
          <w:lang w:val="en-US"/>
        </w:rPr>
        <w:t xml:space="preserve">In this case, </w:t>
      </w:r>
      <w:r w:rsidR="00F7308D" w:rsidRPr="00A0483F">
        <w:rPr>
          <w:rFonts w:ascii="Times New Roman" w:hAnsi="Times New Roman"/>
          <w:lang w:val="en-US"/>
        </w:rPr>
        <w:t xml:space="preserve">there would be two </w:t>
      </w:r>
      <w:r>
        <w:rPr>
          <w:rFonts w:ascii="Times New Roman" w:hAnsi="Times New Roman"/>
          <w:lang w:val="en-US"/>
        </w:rPr>
        <w:t xml:space="preserve">parallel </w:t>
      </w:r>
      <w:r w:rsidR="00F7308D" w:rsidRPr="00A0483F">
        <w:rPr>
          <w:rFonts w:ascii="Times New Roman" w:hAnsi="Times New Roman"/>
          <w:lang w:val="en-US"/>
        </w:rPr>
        <w:t>Conventions</w:t>
      </w:r>
      <w:r w:rsidR="00F7308D">
        <w:rPr>
          <w:rFonts w:ascii="Times New Roman" w:hAnsi="Times New Roman"/>
          <w:lang w:val="en-US"/>
        </w:rPr>
        <w:t xml:space="preserve">: </w:t>
      </w:r>
      <w:r w:rsidR="00CA63CF">
        <w:rPr>
          <w:rFonts w:ascii="Times New Roman" w:hAnsi="Times New Roman"/>
          <w:lang w:val="en-US"/>
        </w:rPr>
        <w:t>t</w:t>
      </w:r>
      <w:r w:rsidR="00F7308D">
        <w:rPr>
          <w:rFonts w:ascii="Times New Roman" w:hAnsi="Times New Roman"/>
          <w:lang w:val="en-US"/>
        </w:rPr>
        <w:t xml:space="preserve">he </w:t>
      </w:r>
      <w:r w:rsidR="00F7308D" w:rsidRPr="00A0483F">
        <w:rPr>
          <w:rFonts w:ascii="Times New Roman" w:hAnsi="Times New Roman"/>
          <w:lang w:val="en-US"/>
        </w:rPr>
        <w:t xml:space="preserve">amended Convention </w:t>
      </w:r>
      <w:r w:rsidR="00F7308D">
        <w:rPr>
          <w:rFonts w:ascii="Times New Roman" w:hAnsi="Times New Roman"/>
          <w:lang w:val="en-US"/>
        </w:rPr>
        <w:t xml:space="preserve">that would govern the relations between two parties having ratified the </w:t>
      </w:r>
      <w:r>
        <w:rPr>
          <w:rFonts w:ascii="Times New Roman" w:hAnsi="Times New Roman"/>
          <w:lang w:val="en-US"/>
        </w:rPr>
        <w:t>a</w:t>
      </w:r>
      <w:r w:rsidR="00F7308D">
        <w:rPr>
          <w:rFonts w:ascii="Times New Roman" w:hAnsi="Times New Roman"/>
          <w:lang w:val="en-US"/>
        </w:rPr>
        <w:t>mendment, and the un</w:t>
      </w:r>
      <w:r w:rsidR="00F7308D" w:rsidRPr="00A0483F">
        <w:rPr>
          <w:rFonts w:ascii="Times New Roman" w:hAnsi="Times New Roman"/>
          <w:lang w:val="en-US"/>
        </w:rPr>
        <w:t>amended Convention</w:t>
      </w:r>
      <w:r w:rsidR="00F7308D">
        <w:rPr>
          <w:rFonts w:ascii="Times New Roman" w:hAnsi="Times New Roman"/>
          <w:lang w:val="en-US"/>
        </w:rPr>
        <w:t xml:space="preserve"> </w:t>
      </w:r>
      <w:r>
        <w:rPr>
          <w:rFonts w:ascii="Times New Roman" w:hAnsi="Times New Roman"/>
          <w:lang w:val="en-US"/>
        </w:rPr>
        <w:t xml:space="preserve">that would govern </w:t>
      </w:r>
      <w:r w:rsidR="00F7308D">
        <w:rPr>
          <w:rFonts w:ascii="Times New Roman" w:hAnsi="Times New Roman"/>
          <w:lang w:val="en-US"/>
        </w:rPr>
        <w:t xml:space="preserve">relations between a party that has not ratified and any other party (whether that second party has ratified the amendment or not). </w:t>
      </w:r>
    </w:p>
    <w:p w14:paraId="166BA50F" w14:textId="77777777" w:rsidR="00F7308D" w:rsidRDefault="00F7308D">
      <w:pPr>
        <w:jc w:val="both"/>
        <w:rPr>
          <w:rFonts w:ascii="Times New Roman" w:hAnsi="Times New Roman"/>
          <w:lang w:val="en-US"/>
        </w:rPr>
      </w:pPr>
    </w:p>
    <w:p w14:paraId="3AA7FD07" w14:textId="41706198" w:rsidR="007913EE" w:rsidRPr="002072AB" w:rsidRDefault="00E64CAF">
      <w:pPr>
        <w:jc w:val="both"/>
        <w:rPr>
          <w:rFonts w:ascii="Times New Roman" w:eastAsia="Calibri" w:hAnsi="Times New Roman" w:cs="Times"/>
          <w:szCs w:val="22"/>
          <w:lang w:val="en-US" w:eastAsia="en-US"/>
        </w:rPr>
      </w:pPr>
      <w:r>
        <w:rPr>
          <w:rFonts w:ascii="Times New Roman" w:hAnsi="Times New Roman"/>
          <w:lang w:val="en-US"/>
        </w:rPr>
        <w:t xml:space="preserve">This </w:t>
      </w:r>
      <w:r w:rsidR="00FC6472" w:rsidRPr="00FC6472">
        <w:rPr>
          <w:rFonts w:ascii="Times New Roman" w:hAnsi="Times New Roman"/>
          <w:lang w:val="en-US"/>
        </w:rPr>
        <w:t xml:space="preserve">would effectively lead to the creation of two </w:t>
      </w:r>
      <w:r w:rsidR="001C5A0B">
        <w:rPr>
          <w:rFonts w:ascii="Times New Roman" w:hAnsi="Times New Roman"/>
          <w:lang w:val="en-US"/>
        </w:rPr>
        <w:t xml:space="preserve">alternative </w:t>
      </w:r>
      <w:r w:rsidR="00FC6472" w:rsidRPr="00FC6472">
        <w:rPr>
          <w:rFonts w:ascii="Times New Roman" w:hAnsi="Times New Roman"/>
          <w:lang w:val="en-US"/>
        </w:rPr>
        <w:t xml:space="preserve">Annex III lists. On the one hand, there would be the ‘original’ Annex III </w:t>
      </w:r>
      <w:r w:rsidR="003B0E00" w:rsidRPr="00FC6472">
        <w:rPr>
          <w:rFonts w:ascii="Times New Roman" w:hAnsi="Times New Roman"/>
          <w:lang w:val="en-US"/>
        </w:rPr>
        <w:t>list that</w:t>
      </w:r>
      <w:r w:rsidR="00FC6472" w:rsidRPr="00FC6472">
        <w:rPr>
          <w:rFonts w:ascii="Times New Roman" w:hAnsi="Times New Roman"/>
          <w:lang w:val="en-US"/>
        </w:rPr>
        <w:t xml:space="preserve"> binds all Parties to the Convention</w:t>
      </w:r>
      <w:r w:rsidR="00F20744">
        <w:rPr>
          <w:rFonts w:ascii="Times New Roman" w:hAnsi="Times New Roman"/>
          <w:lang w:val="en-US"/>
        </w:rPr>
        <w:t xml:space="preserve">. Listing on this ‘original’ Annex III </w:t>
      </w:r>
      <w:r w:rsidR="00D37833">
        <w:rPr>
          <w:rFonts w:ascii="Times New Roman" w:hAnsi="Times New Roman"/>
          <w:lang w:val="en-US"/>
        </w:rPr>
        <w:t xml:space="preserve">would require compliance </w:t>
      </w:r>
      <w:r w:rsidR="00F20744">
        <w:rPr>
          <w:rFonts w:ascii="Times New Roman" w:hAnsi="Times New Roman"/>
          <w:lang w:val="en-US"/>
        </w:rPr>
        <w:t xml:space="preserve">with the provisions of the original </w:t>
      </w:r>
      <w:r w:rsidR="00FC6472" w:rsidRPr="00FC6472">
        <w:rPr>
          <w:rFonts w:ascii="Times New Roman" w:hAnsi="Times New Roman"/>
          <w:lang w:val="en-US"/>
        </w:rPr>
        <w:t>Article 22</w:t>
      </w:r>
      <w:r w:rsidR="00F20744">
        <w:rPr>
          <w:rFonts w:ascii="Times New Roman" w:hAnsi="Times New Roman"/>
          <w:lang w:val="en-US"/>
        </w:rPr>
        <w:t>.</w:t>
      </w:r>
      <w:r w:rsidR="00FC6472" w:rsidRPr="00FC6472">
        <w:rPr>
          <w:rFonts w:ascii="Times New Roman" w:hAnsi="Times New Roman"/>
          <w:lang w:val="en-US"/>
        </w:rPr>
        <w:t>5</w:t>
      </w:r>
      <w:r w:rsidR="00F20744">
        <w:rPr>
          <w:rFonts w:ascii="Times New Roman" w:hAnsi="Times New Roman"/>
          <w:lang w:val="en-US"/>
        </w:rPr>
        <w:t xml:space="preserve"> (</w:t>
      </w:r>
      <w:r w:rsidR="001C5A0B">
        <w:rPr>
          <w:rFonts w:ascii="Times New Roman" w:hAnsi="Times New Roman"/>
          <w:lang w:val="en-US"/>
        </w:rPr>
        <w:t>i.e.</w:t>
      </w:r>
      <w:r>
        <w:rPr>
          <w:rFonts w:ascii="Times New Roman" w:hAnsi="Times New Roman"/>
          <w:lang w:val="en-US"/>
        </w:rPr>
        <w:t xml:space="preserve">, </w:t>
      </w:r>
      <w:r w:rsidR="003B0E00">
        <w:rPr>
          <w:rFonts w:ascii="Times New Roman" w:hAnsi="Times New Roman"/>
          <w:lang w:val="en-US"/>
        </w:rPr>
        <w:t>a decision</w:t>
      </w:r>
      <w:r w:rsidR="009B668C">
        <w:rPr>
          <w:rFonts w:ascii="Times New Roman" w:hAnsi="Times New Roman"/>
          <w:lang w:val="en-US"/>
        </w:rPr>
        <w:t xml:space="preserve"> adopted by </w:t>
      </w:r>
      <w:r w:rsidR="00F20744">
        <w:rPr>
          <w:rFonts w:ascii="Times New Roman" w:hAnsi="Times New Roman"/>
          <w:lang w:val="en-US"/>
        </w:rPr>
        <w:t>consensus)</w:t>
      </w:r>
      <w:r w:rsidR="00FC6472" w:rsidRPr="00FC6472">
        <w:rPr>
          <w:rFonts w:ascii="Times New Roman" w:hAnsi="Times New Roman"/>
          <w:lang w:val="en-US"/>
        </w:rPr>
        <w:t xml:space="preserve">. On the other hand, </w:t>
      </w:r>
      <w:r w:rsidR="00F20744">
        <w:rPr>
          <w:rFonts w:ascii="Times New Roman" w:hAnsi="Times New Roman"/>
          <w:lang w:val="en-US"/>
        </w:rPr>
        <w:t>substances could be added to the “</w:t>
      </w:r>
      <w:r w:rsidR="001C5A0B">
        <w:rPr>
          <w:rFonts w:ascii="Times New Roman" w:hAnsi="Times New Roman"/>
          <w:lang w:val="en-US"/>
        </w:rPr>
        <w:t>alternative</w:t>
      </w:r>
      <w:r w:rsidR="00F20744">
        <w:rPr>
          <w:rFonts w:ascii="Times New Roman" w:hAnsi="Times New Roman"/>
          <w:lang w:val="en-US"/>
        </w:rPr>
        <w:t xml:space="preserve">” Annex III following the procedure of the amended </w:t>
      </w:r>
      <w:r w:rsidR="006967EB">
        <w:rPr>
          <w:rFonts w:ascii="Times New Roman" w:hAnsi="Times New Roman"/>
          <w:lang w:val="en-US"/>
        </w:rPr>
        <w:t>A</w:t>
      </w:r>
      <w:r w:rsidR="00F20744">
        <w:rPr>
          <w:rFonts w:ascii="Times New Roman" w:hAnsi="Times New Roman"/>
          <w:lang w:val="en-US"/>
        </w:rPr>
        <w:t>rticle 22.5 (which would likely provide for the possibility of a vote)</w:t>
      </w:r>
      <w:r w:rsidR="00FC6472" w:rsidRPr="00FC6472">
        <w:rPr>
          <w:rFonts w:ascii="Times New Roman" w:hAnsi="Times New Roman"/>
          <w:lang w:val="en-US"/>
        </w:rPr>
        <w:t>.</w:t>
      </w:r>
    </w:p>
    <w:p w14:paraId="59A2C172" w14:textId="77777777" w:rsidR="007913EE" w:rsidRPr="002072AB" w:rsidRDefault="00FC6472">
      <w:pPr>
        <w:jc w:val="both"/>
        <w:rPr>
          <w:rFonts w:ascii="Times New Roman" w:hAnsi="Times New Roman"/>
          <w:lang w:val="en-US"/>
        </w:rPr>
      </w:pPr>
      <w:r w:rsidRPr="00FC6472">
        <w:rPr>
          <w:rFonts w:ascii="Times New Roman" w:hAnsi="Times New Roman"/>
          <w:lang w:val="en-US"/>
        </w:rPr>
        <w:t xml:space="preserve"> </w:t>
      </w:r>
    </w:p>
    <w:p w14:paraId="53E40C54" w14:textId="0F5CE6FA" w:rsidR="007913EE" w:rsidRDefault="0010209B">
      <w:pPr>
        <w:jc w:val="both"/>
        <w:rPr>
          <w:rFonts w:ascii="Times New Roman" w:hAnsi="Times New Roman"/>
          <w:lang w:val="en-US"/>
        </w:rPr>
      </w:pPr>
      <w:r w:rsidRPr="00FE0CCF">
        <w:rPr>
          <w:rFonts w:ascii="Times New Roman" w:hAnsi="Times New Roman"/>
          <w:lang w:val="en-US"/>
        </w:rPr>
        <w:t>However, the ‘</w:t>
      </w:r>
      <w:r w:rsidR="001C5A0B">
        <w:rPr>
          <w:rFonts w:ascii="Times New Roman" w:hAnsi="Times New Roman"/>
          <w:lang w:val="en-US"/>
        </w:rPr>
        <w:t>alternative</w:t>
      </w:r>
      <w:r w:rsidR="001C5A0B" w:rsidRPr="00FE0CCF">
        <w:rPr>
          <w:rFonts w:ascii="Times New Roman" w:hAnsi="Times New Roman"/>
          <w:lang w:val="en-US"/>
        </w:rPr>
        <w:t xml:space="preserve">’ </w:t>
      </w:r>
      <w:r w:rsidRPr="00FE0CCF">
        <w:rPr>
          <w:rFonts w:ascii="Times New Roman" w:hAnsi="Times New Roman"/>
          <w:lang w:val="en-US"/>
        </w:rPr>
        <w:t xml:space="preserve">Annex III list </w:t>
      </w:r>
      <w:r w:rsidR="00697597">
        <w:rPr>
          <w:rFonts w:ascii="Times New Roman" w:hAnsi="Times New Roman"/>
          <w:lang w:val="en-US"/>
        </w:rPr>
        <w:t xml:space="preserve">would </w:t>
      </w:r>
      <w:r w:rsidRPr="00FE0CCF">
        <w:rPr>
          <w:rFonts w:ascii="Times New Roman" w:hAnsi="Times New Roman"/>
          <w:lang w:val="en-US"/>
        </w:rPr>
        <w:t>only appl</w:t>
      </w:r>
      <w:r w:rsidR="00697597">
        <w:rPr>
          <w:rFonts w:ascii="Times New Roman" w:hAnsi="Times New Roman"/>
          <w:lang w:val="en-US"/>
        </w:rPr>
        <w:t>y</w:t>
      </w:r>
      <w:r w:rsidR="00FC6472" w:rsidRPr="00FC6472">
        <w:rPr>
          <w:rFonts w:ascii="Times New Roman" w:hAnsi="Times New Roman"/>
          <w:lang w:val="en-US"/>
        </w:rPr>
        <w:t xml:space="preserve"> to the Parties that have ratified the </w:t>
      </w:r>
      <w:r w:rsidR="00E64CAF">
        <w:rPr>
          <w:rFonts w:ascii="Times New Roman" w:hAnsi="Times New Roman"/>
          <w:lang w:val="en-US"/>
        </w:rPr>
        <w:t>a</w:t>
      </w:r>
      <w:r w:rsidR="00FC6472" w:rsidRPr="00FC6472">
        <w:rPr>
          <w:rFonts w:ascii="Times New Roman" w:hAnsi="Times New Roman"/>
          <w:lang w:val="en-US"/>
        </w:rPr>
        <w:t xml:space="preserve">mendment, whereas the ‘original’ Annex III list </w:t>
      </w:r>
      <w:r w:rsidR="00697597">
        <w:rPr>
          <w:rFonts w:ascii="Times New Roman" w:hAnsi="Times New Roman"/>
          <w:lang w:val="en-US"/>
        </w:rPr>
        <w:t xml:space="preserve">would continue to govern </w:t>
      </w:r>
      <w:r w:rsidR="00FC6472" w:rsidRPr="00FC6472">
        <w:rPr>
          <w:rFonts w:ascii="Times New Roman" w:hAnsi="Times New Roman"/>
          <w:lang w:val="en-US"/>
        </w:rPr>
        <w:t>obligations for all Parties to the Convention.</w:t>
      </w:r>
    </w:p>
    <w:p w14:paraId="6EB9CB27" w14:textId="77777777" w:rsidR="00697597" w:rsidRDefault="00697597">
      <w:pPr>
        <w:jc w:val="both"/>
        <w:rPr>
          <w:rFonts w:ascii="Times New Roman" w:hAnsi="Times New Roman"/>
          <w:lang w:val="en-US"/>
        </w:rPr>
      </w:pPr>
    </w:p>
    <w:p w14:paraId="68B392CC" w14:textId="21D12CA4" w:rsidR="00697597" w:rsidRPr="002072AB" w:rsidRDefault="00A60EA2">
      <w:pPr>
        <w:jc w:val="both"/>
        <w:rPr>
          <w:rFonts w:ascii="Times New Roman" w:hAnsi="Times New Roman"/>
          <w:lang w:val="en-US"/>
        </w:rPr>
      </w:pPr>
      <w:r>
        <w:rPr>
          <w:rFonts w:ascii="Times New Roman" w:hAnsi="Times New Roman"/>
          <w:lang w:val="en-US"/>
        </w:rPr>
        <w:t>For example, if a substance</w:t>
      </w:r>
      <w:r w:rsidR="00697597">
        <w:rPr>
          <w:rFonts w:ascii="Times New Roman" w:hAnsi="Times New Roman"/>
          <w:lang w:val="en-US"/>
        </w:rPr>
        <w:t xml:space="preserve"> </w:t>
      </w:r>
      <w:r w:rsidR="00A462FF">
        <w:rPr>
          <w:rFonts w:ascii="Times New Roman" w:hAnsi="Times New Roman"/>
          <w:lang w:val="en-US"/>
        </w:rPr>
        <w:t xml:space="preserve">could not be listed on the ‘original’ Annex III list </w:t>
      </w:r>
      <w:r w:rsidR="00B169E8">
        <w:rPr>
          <w:rFonts w:ascii="Times New Roman" w:hAnsi="Times New Roman"/>
          <w:lang w:val="en-US"/>
        </w:rPr>
        <w:t xml:space="preserve">due to </w:t>
      </w:r>
      <w:r w:rsidR="00A462FF">
        <w:rPr>
          <w:rFonts w:ascii="Times New Roman" w:hAnsi="Times New Roman"/>
          <w:lang w:val="en-US"/>
        </w:rPr>
        <w:t xml:space="preserve">lack of consensus, but </w:t>
      </w:r>
      <w:r w:rsidR="00697597">
        <w:rPr>
          <w:rFonts w:ascii="Times New Roman" w:hAnsi="Times New Roman"/>
          <w:lang w:val="en-US"/>
        </w:rPr>
        <w:t xml:space="preserve">was added to the </w:t>
      </w:r>
      <w:r w:rsidR="001C5A0B">
        <w:rPr>
          <w:rFonts w:ascii="Times New Roman" w:hAnsi="Times New Roman"/>
          <w:lang w:val="en-US"/>
        </w:rPr>
        <w:t xml:space="preserve">alternative </w:t>
      </w:r>
      <w:r w:rsidR="00697597">
        <w:rPr>
          <w:rFonts w:ascii="Times New Roman" w:hAnsi="Times New Roman"/>
          <w:lang w:val="en-US"/>
        </w:rPr>
        <w:t xml:space="preserve">Annex III pursuant to the revised version of </w:t>
      </w:r>
      <w:r w:rsidR="006967EB">
        <w:rPr>
          <w:rFonts w:ascii="Times New Roman" w:hAnsi="Times New Roman"/>
          <w:lang w:val="en-US"/>
        </w:rPr>
        <w:t>A</w:t>
      </w:r>
      <w:r w:rsidR="00697597">
        <w:rPr>
          <w:rFonts w:ascii="Times New Roman" w:hAnsi="Times New Roman"/>
          <w:lang w:val="en-US"/>
        </w:rPr>
        <w:t>rt</w:t>
      </w:r>
      <w:r w:rsidR="00AA693C">
        <w:rPr>
          <w:rFonts w:ascii="Times New Roman" w:hAnsi="Times New Roman"/>
          <w:lang w:val="en-US"/>
        </w:rPr>
        <w:t>icle</w:t>
      </w:r>
      <w:r w:rsidR="00697597">
        <w:rPr>
          <w:rFonts w:ascii="Times New Roman" w:hAnsi="Times New Roman"/>
          <w:lang w:val="en-US"/>
        </w:rPr>
        <w:t xml:space="preserve"> 22.5</w:t>
      </w:r>
      <w:r>
        <w:rPr>
          <w:rFonts w:ascii="Times New Roman" w:hAnsi="Times New Roman"/>
          <w:lang w:val="en-US"/>
        </w:rPr>
        <w:t>, the PIC procedure would only apply to trade between parties that have both ratified the amendment</w:t>
      </w:r>
      <w:r w:rsidR="00911AFF">
        <w:rPr>
          <w:rFonts w:ascii="Times New Roman" w:hAnsi="Times New Roman"/>
          <w:lang w:val="en-US"/>
        </w:rPr>
        <w:t xml:space="preserve"> modifying the listing procedure</w:t>
      </w:r>
      <w:r>
        <w:rPr>
          <w:rFonts w:ascii="Times New Roman" w:hAnsi="Times New Roman"/>
          <w:lang w:val="en-US"/>
        </w:rPr>
        <w:t xml:space="preserve">. Conversely, the PIC procedure would not apply to trade either between parties that have not ratified the amendment, or between </w:t>
      </w:r>
      <w:r w:rsidR="009B668C">
        <w:rPr>
          <w:rFonts w:ascii="Times New Roman" w:hAnsi="Times New Roman"/>
          <w:lang w:val="en-US"/>
        </w:rPr>
        <w:t xml:space="preserve">a </w:t>
      </w:r>
      <w:r>
        <w:rPr>
          <w:rFonts w:ascii="Times New Roman" w:hAnsi="Times New Roman"/>
          <w:lang w:val="en-US"/>
        </w:rPr>
        <w:t>party that has ratified the amendment and one that has</w:t>
      </w:r>
      <w:r w:rsidR="009B668C">
        <w:rPr>
          <w:rFonts w:ascii="Times New Roman" w:hAnsi="Times New Roman"/>
          <w:lang w:val="en-US"/>
        </w:rPr>
        <w:t xml:space="preserve"> not</w:t>
      </w:r>
      <w:r>
        <w:rPr>
          <w:rFonts w:ascii="Times New Roman" w:hAnsi="Times New Roman"/>
          <w:lang w:val="en-US"/>
        </w:rPr>
        <w:t xml:space="preserve">. </w:t>
      </w:r>
    </w:p>
    <w:p w14:paraId="4C139139" w14:textId="77777777" w:rsidR="009C2D9F" w:rsidRDefault="009C2D9F">
      <w:pPr>
        <w:jc w:val="both"/>
        <w:rPr>
          <w:rFonts w:ascii="Times New Roman" w:hAnsi="Times New Roman"/>
          <w:lang w:val="en-US"/>
        </w:rPr>
      </w:pPr>
    </w:p>
    <w:p w14:paraId="25B70DE0" w14:textId="77777777" w:rsidR="00FE0CCF" w:rsidRPr="000D6DCB" w:rsidRDefault="00961662">
      <w:pPr>
        <w:jc w:val="both"/>
        <w:rPr>
          <w:rFonts w:ascii="Times New Roman" w:hAnsi="Times New Roman"/>
          <w:i/>
          <w:lang w:val="en-US"/>
        </w:rPr>
      </w:pPr>
      <w:r w:rsidRPr="000D6DCB">
        <w:rPr>
          <w:rFonts w:ascii="Times New Roman" w:hAnsi="Times New Roman"/>
          <w:i/>
          <w:lang w:val="en-US"/>
        </w:rPr>
        <w:t>2.3</w:t>
      </w:r>
      <w:r w:rsidR="00FC6472" w:rsidRPr="000D6DCB">
        <w:rPr>
          <w:rFonts w:ascii="Times New Roman" w:hAnsi="Times New Roman"/>
          <w:i/>
          <w:lang w:val="en-US"/>
        </w:rPr>
        <w:t xml:space="preserve"> After ratification of the amendment by all Parties</w:t>
      </w:r>
    </w:p>
    <w:p w14:paraId="7A9C1FDD" w14:textId="77777777" w:rsidR="00FE0CCF" w:rsidRDefault="00FE0CCF">
      <w:pPr>
        <w:jc w:val="both"/>
        <w:rPr>
          <w:rFonts w:ascii="Times New Roman" w:hAnsi="Times New Roman"/>
          <w:highlight w:val="yellow"/>
          <w:lang w:val="en-US"/>
        </w:rPr>
      </w:pPr>
    </w:p>
    <w:p w14:paraId="658FBCE9" w14:textId="6A3283AE" w:rsidR="00F94FF1" w:rsidRDefault="00E64CAF" w:rsidP="00624FF5">
      <w:pPr>
        <w:jc w:val="both"/>
        <w:rPr>
          <w:rFonts w:ascii="Times New Roman" w:hAnsi="Times New Roman"/>
          <w:lang w:val="en-US"/>
        </w:rPr>
      </w:pPr>
      <w:r>
        <w:rPr>
          <w:rFonts w:ascii="Times New Roman" w:hAnsi="Times New Roman"/>
          <w:lang w:val="en-US"/>
        </w:rPr>
        <w:t>Should all parties eventually</w:t>
      </w:r>
      <w:r w:rsidR="00AC3B53">
        <w:rPr>
          <w:rFonts w:ascii="Times New Roman" w:hAnsi="Times New Roman"/>
          <w:lang w:val="en-US"/>
        </w:rPr>
        <w:t xml:space="preserve"> ratify the amendment</w:t>
      </w:r>
      <w:r w:rsidR="00FE0CCF">
        <w:rPr>
          <w:rFonts w:ascii="Times New Roman" w:hAnsi="Times New Roman"/>
          <w:lang w:val="en-US"/>
        </w:rPr>
        <w:t xml:space="preserve">, </w:t>
      </w:r>
      <w:r>
        <w:rPr>
          <w:rFonts w:ascii="Times New Roman" w:hAnsi="Times New Roman"/>
          <w:lang w:val="en-US"/>
        </w:rPr>
        <w:t>it would be necessary to determine</w:t>
      </w:r>
      <w:r w:rsidR="00FE0CCF">
        <w:rPr>
          <w:rFonts w:ascii="Times New Roman" w:hAnsi="Times New Roman"/>
          <w:lang w:val="en-US"/>
        </w:rPr>
        <w:t xml:space="preserve"> the fate of the two alternative Annex III lists</w:t>
      </w:r>
      <w:r w:rsidR="001C5A0B">
        <w:rPr>
          <w:rFonts w:ascii="Times New Roman" w:hAnsi="Times New Roman"/>
          <w:lang w:val="en-US"/>
        </w:rPr>
        <w:t xml:space="preserve">. </w:t>
      </w:r>
      <w:r w:rsidR="00624FF5">
        <w:rPr>
          <w:rFonts w:ascii="Times New Roman" w:hAnsi="Times New Roman"/>
          <w:lang w:val="en-US"/>
        </w:rPr>
        <w:t xml:space="preserve">This issue </w:t>
      </w:r>
      <w:r w:rsidR="00F94FF1">
        <w:rPr>
          <w:rFonts w:ascii="Times New Roman" w:hAnsi="Times New Roman"/>
          <w:lang w:val="en-US"/>
        </w:rPr>
        <w:t xml:space="preserve">could be addressed in the original proposal for an amendment. </w:t>
      </w:r>
      <w:r w:rsidR="00D53832">
        <w:rPr>
          <w:rFonts w:ascii="Times New Roman" w:hAnsi="Times New Roman"/>
          <w:lang w:val="en-US"/>
        </w:rPr>
        <w:t xml:space="preserve">One option </w:t>
      </w:r>
      <w:r w:rsidR="00AC3B53">
        <w:rPr>
          <w:rFonts w:ascii="Times New Roman" w:hAnsi="Times New Roman"/>
          <w:lang w:val="en-US"/>
        </w:rPr>
        <w:t>could</w:t>
      </w:r>
      <w:r w:rsidR="00D53832">
        <w:rPr>
          <w:rFonts w:ascii="Times New Roman" w:hAnsi="Times New Roman"/>
          <w:lang w:val="en-US"/>
        </w:rPr>
        <w:t xml:space="preserve"> be to</w:t>
      </w:r>
      <w:r w:rsidR="00AC3B53">
        <w:rPr>
          <w:rFonts w:ascii="Times New Roman" w:hAnsi="Times New Roman"/>
          <w:lang w:val="en-US"/>
        </w:rPr>
        <w:t xml:space="preserve"> </w:t>
      </w:r>
      <w:r w:rsidR="00F94FF1">
        <w:rPr>
          <w:rFonts w:ascii="Times New Roman" w:hAnsi="Times New Roman"/>
          <w:lang w:val="en-US"/>
        </w:rPr>
        <w:t xml:space="preserve">include a decision to automatically add to the alternative </w:t>
      </w:r>
      <w:r w:rsidR="00624FF5">
        <w:rPr>
          <w:rFonts w:ascii="Times New Roman" w:hAnsi="Times New Roman"/>
          <w:lang w:val="en-US"/>
        </w:rPr>
        <w:t>A</w:t>
      </w:r>
      <w:r w:rsidR="00F94FF1">
        <w:rPr>
          <w:rFonts w:ascii="Times New Roman" w:hAnsi="Times New Roman"/>
          <w:lang w:val="en-US"/>
        </w:rPr>
        <w:t xml:space="preserve">nnex III list those substances that would be added to the original Annex III list during this period. Alternatively, the two annex III lists </w:t>
      </w:r>
      <w:r w:rsidR="00624FF5">
        <w:rPr>
          <w:rFonts w:ascii="Times New Roman" w:hAnsi="Times New Roman"/>
          <w:lang w:val="en-US"/>
        </w:rPr>
        <w:t>c</w:t>
      </w:r>
      <w:r w:rsidR="00F94FF1">
        <w:rPr>
          <w:rFonts w:ascii="Times New Roman" w:hAnsi="Times New Roman"/>
          <w:lang w:val="en-US"/>
        </w:rPr>
        <w:t xml:space="preserve">ould be merged. </w:t>
      </w:r>
    </w:p>
    <w:p w14:paraId="37BE7717" w14:textId="77777777" w:rsidR="007913EE" w:rsidRPr="009B668C" w:rsidRDefault="007913EE">
      <w:pPr>
        <w:jc w:val="both"/>
        <w:rPr>
          <w:rFonts w:ascii="Times New Roman" w:hAnsi="Times New Roman"/>
          <w:highlight w:val="yellow"/>
          <w:lang w:val="en-US"/>
        </w:rPr>
      </w:pPr>
    </w:p>
    <w:p w14:paraId="20EB8C71" w14:textId="1E68E271" w:rsidR="007913EE" w:rsidRPr="002072AB" w:rsidRDefault="00FC6472">
      <w:pPr>
        <w:jc w:val="both"/>
        <w:rPr>
          <w:rFonts w:ascii="Times New Roman" w:hAnsi="Times New Roman"/>
          <w:lang w:val="en-US"/>
        </w:rPr>
      </w:pPr>
      <w:r w:rsidRPr="00FC6472">
        <w:rPr>
          <w:rFonts w:ascii="Times New Roman" w:hAnsi="Times New Roman"/>
          <w:lang w:val="en-US"/>
        </w:rPr>
        <w:t xml:space="preserve">This system of parallel conventions and annexes may complicate the decision-making process for the listing of substances in Annex III </w:t>
      </w:r>
      <w:r w:rsidR="0018052F">
        <w:rPr>
          <w:rFonts w:ascii="Times New Roman" w:hAnsi="Times New Roman"/>
          <w:lang w:val="en-US"/>
        </w:rPr>
        <w:t xml:space="preserve">and could </w:t>
      </w:r>
      <w:r w:rsidRPr="00FC6472">
        <w:rPr>
          <w:rFonts w:ascii="Times New Roman" w:hAnsi="Times New Roman"/>
          <w:lang w:val="en-US"/>
        </w:rPr>
        <w:t xml:space="preserve">possibly make the implementation of the Convention more complex. It might further provide the Parties to the original Convention with little incentive to reach consensus on future listings under Annex III before the </w:t>
      </w:r>
      <w:r w:rsidR="000342A4">
        <w:rPr>
          <w:rFonts w:ascii="Times New Roman" w:hAnsi="Times New Roman"/>
          <w:lang w:val="en-US"/>
        </w:rPr>
        <w:t>a</w:t>
      </w:r>
      <w:r w:rsidRPr="00FC6472">
        <w:rPr>
          <w:rFonts w:ascii="Times New Roman" w:hAnsi="Times New Roman"/>
          <w:lang w:val="en-US"/>
        </w:rPr>
        <w:t xml:space="preserve">mendment enters into force, effectively freezing the Annex III list until the entry into force of the </w:t>
      </w:r>
      <w:r w:rsidR="000342A4">
        <w:rPr>
          <w:rFonts w:ascii="Times New Roman" w:hAnsi="Times New Roman"/>
          <w:lang w:val="en-US"/>
        </w:rPr>
        <w:t>a</w:t>
      </w:r>
      <w:r w:rsidRPr="00FC6472">
        <w:rPr>
          <w:rFonts w:ascii="Times New Roman" w:hAnsi="Times New Roman"/>
          <w:lang w:val="en-US"/>
        </w:rPr>
        <w:t xml:space="preserve">mendment. </w:t>
      </w:r>
      <w:r w:rsidR="001531C2">
        <w:rPr>
          <w:rFonts w:ascii="Times New Roman" w:hAnsi="Times New Roman"/>
          <w:lang w:val="en-US"/>
        </w:rPr>
        <w:t xml:space="preserve">Conversely, </w:t>
      </w:r>
      <w:r w:rsidR="001531C2" w:rsidRPr="00FC6472">
        <w:rPr>
          <w:rFonts w:ascii="Times New Roman" w:hAnsi="Times New Roman"/>
          <w:lang w:val="en-US"/>
        </w:rPr>
        <w:t xml:space="preserve">the revision of the listing procedure </w:t>
      </w:r>
      <w:r w:rsidR="001531C2">
        <w:rPr>
          <w:rFonts w:ascii="Times New Roman" w:hAnsi="Times New Roman"/>
          <w:lang w:val="en-US"/>
        </w:rPr>
        <w:t xml:space="preserve">could </w:t>
      </w:r>
      <w:r w:rsidR="001531C2" w:rsidRPr="00FC6472">
        <w:rPr>
          <w:rFonts w:ascii="Times New Roman" w:hAnsi="Times New Roman"/>
          <w:lang w:val="en-US"/>
        </w:rPr>
        <w:t>enhance the effectiveness of the Convention</w:t>
      </w:r>
      <w:r w:rsidR="001531C2">
        <w:rPr>
          <w:rFonts w:ascii="Times New Roman" w:hAnsi="Times New Roman"/>
          <w:lang w:val="en-US"/>
        </w:rPr>
        <w:t xml:space="preserve"> by making it easier to list chemicals </w:t>
      </w:r>
      <w:r w:rsidR="000342A4">
        <w:rPr>
          <w:rFonts w:ascii="Times New Roman" w:hAnsi="Times New Roman"/>
          <w:lang w:val="en-US"/>
        </w:rPr>
        <w:t>in</w:t>
      </w:r>
      <w:r w:rsidR="001531C2">
        <w:rPr>
          <w:rFonts w:ascii="Times New Roman" w:hAnsi="Times New Roman"/>
          <w:lang w:val="en-US"/>
        </w:rPr>
        <w:t xml:space="preserve"> Annex III, expanding the use of the PIC procedure, and facilitating the use of the Rotterdam Convention Annex III for national regulation</w:t>
      </w:r>
      <w:r w:rsidR="001531C2" w:rsidRPr="00FC6472">
        <w:rPr>
          <w:rFonts w:ascii="Times New Roman" w:hAnsi="Times New Roman"/>
          <w:lang w:val="en-US"/>
        </w:rPr>
        <w:t xml:space="preserve">. </w:t>
      </w:r>
    </w:p>
    <w:p w14:paraId="077791C9" w14:textId="77777777" w:rsidR="00961662" w:rsidRDefault="00961662">
      <w:pPr>
        <w:jc w:val="both"/>
        <w:rPr>
          <w:rFonts w:ascii="Times New Roman" w:hAnsi="Times New Roman"/>
          <w:lang w:val="en-US"/>
        </w:rPr>
      </w:pPr>
    </w:p>
    <w:p w14:paraId="1120917B" w14:textId="739F0016" w:rsidR="007913EE" w:rsidRPr="002072AB" w:rsidRDefault="00C9373A">
      <w:pPr>
        <w:jc w:val="both"/>
        <w:rPr>
          <w:rFonts w:ascii="Times New Roman" w:hAnsi="Times New Roman"/>
          <w:lang w:val="en-US"/>
        </w:rPr>
      </w:pPr>
      <w:r>
        <w:rPr>
          <w:rFonts w:ascii="Times New Roman" w:hAnsi="Times New Roman"/>
          <w:lang w:val="en-US"/>
        </w:rPr>
        <w:t xml:space="preserve">In case </w:t>
      </w:r>
      <w:r w:rsidR="003962D0">
        <w:rPr>
          <w:rFonts w:ascii="Times New Roman" w:hAnsi="Times New Roman"/>
          <w:lang w:val="en-US"/>
        </w:rPr>
        <w:t xml:space="preserve">the revision includes </w:t>
      </w:r>
      <w:r>
        <w:rPr>
          <w:rFonts w:ascii="Times New Roman" w:hAnsi="Times New Roman"/>
          <w:lang w:val="en-US"/>
        </w:rPr>
        <w:t xml:space="preserve">the possibility to opt out of specific Annex III listings </w:t>
      </w:r>
      <w:r w:rsidR="003962D0">
        <w:rPr>
          <w:rFonts w:ascii="Times New Roman" w:hAnsi="Times New Roman"/>
          <w:lang w:val="en-US"/>
        </w:rPr>
        <w:t xml:space="preserve">as </w:t>
      </w:r>
      <w:r>
        <w:rPr>
          <w:rFonts w:ascii="Times New Roman" w:hAnsi="Times New Roman"/>
          <w:lang w:val="en-US"/>
        </w:rPr>
        <w:t xml:space="preserve">described in section 2.1.2 of this document, a difference </w:t>
      </w:r>
      <w:r w:rsidR="003962D0">
        <w:rPr>
          <w:rFonts w:ascii="Times New Roman" w:hAnsi="Times New Roman"/>
          <w:lang w:val="en-US"/>
        </w:rPr>
        <w:t xml:space="preserve">in </w:t>
      </w:r>
      <w:r>
        <w:rPr>
          <w:rFonts w:ascii="Times New Roman" w:hAnsi="Times New Roman"/>
          <w:lang w:val="en-US"/>
        </w:rPr>
        <w:t>how the PIC procedure applies to the trade of certain substances between parties could remain</w:t>
      </w:r>
      <w:r w:rsidR="00B33F15">
        <w:rPr>
          <w:rFonts w:ascii="Times New Roman" w:hAnsi="Times New Roman"/>
          <w:lang w:val="en-US"/>
        </w:rPr>
        <w:t xml:space="preserve"> even in the case of ratification of the amendment by all parties. </w:t>
      </w:r>
    </w:p>
    <w:p w14:paraId="2979DDC6" w14:textId="77777777" w:rsidR="0091447E" w:rsidRDefault="00FC6472">
      <w:pPr>
        <w:jc w:val="both"/>
        <w:rPr>
          <w:rFonts w:ascii="Times New Roman" w:hAnsi="Times New Roman"/>
          <w:lang w:val="en-US"/>
        </w:rPr>
      </w:pPr>
      <w:r w:rsidRPr="00FC6472">
        <w:rPr>
          <w:rFonts w:ascii="Times New Roman" w:hAnsi="Times New Roman"/>
          <w:lang w:val="en-US"/>
        </w:rPr>
        <w:t xml:space="preserve"> </w:t>
      </w:r>
    </w:p>
    <w:p w14:paraId="433DB059" w14:textId="080DBC06" w:rsidR="0091447E" w:rsidRDefault="0091447E">
      <w:pPr>
        <w:rPr>
          <w:rFonts w:ascii="Times New Roman" w:hAnsi="Times New Roman"/>
          <w:lang w:val="en-US"/>
        </w:rPr>
      </w:pPr>
    </w:p>
    <w:p w14:paraId="7D5266F0" w14:textId="35D34AD9" w:rsidR="00CA5524" w:rsidRPr="002072AB" w:rsidRDefault="00397514" w:rsidP="00C763C5">
      <w:pPr>
        <w:pStyle w:val="Listenumros"/>
        <w:spacing w:after="0"/>
        <w:jc w:val="both"/>
      </w:pPr>
      <w:r w:rsidRPr="00354C6E">
        <w:rPr>
          <w:rFonts w:ascii="Times New Roman" w:hAnsi="Times New Roman"/>
          <w:b/>
          <w:sz w:val="24"/>
          <w:lang w:val="en-US"/>
        </w:rPr>
        <w:t>3</w:t>
      </w:r>
      <w:r w:rsidR="00FC6472" w:rsidRPr="00FC6472">
        <w:rPr>
          <w:rFonts w:ascii="Times New Roman" w:hAnsi="Times New Roman"/>
          <w:b/>
          <w:sz w:val="24"/>
          <w:lang w:val="en-US"/>
        </w:rPr>
        <w:t xml:space="preserve">. </w:t>
      </w:r>
      <w:r w:rsidR="002A5C18">
        <w:rPr>
          <w:rFonts w:ascii="Times New Roman" w:hAnsi="Times New Roman"/>
          <w:b/>
          <w:sz w:val="24"/>
          <w:lang w:val="en-US"/>
        </w:rPr>
        <w:t>T</w:t>
      </w:r>
      <w:r w:rsidR="00FC6472" w:rsidRPr="00FC6472">
        <w:rPr>
          <w:rFonts w:ascii="Times New Roman" w:hAnsi="Times New Roman"/>
          <w:b/>
          <w:sz w:val="24"/>
          <w:lang w:val="en-US"/>
        </w:rPr>
        <w:t xml:space="preserve">he creation of a new annex for chemicals </w:t>
      </w:r>
      <w:r w:rsidR="00E94107">
        <w:rPr>
          <w:rFonts w:ascii="Times New Roman" w:hAnsi="Times New Roman"/>
          <w:b/>
          <w:sz w:val="24"/>
          <w:lang w:val="en-US"/>
        </w:rPr>
        <w:t>that</w:t>
      </w:r>
      <w:r w:rsidR="00E94107" w:rsidRPr="00FC6472">
        <w:rPr>
          <w:rFonts w:ascii="Times New Roman" w:hAnsi="Times New Roman"/>
          <w:b/>
          <w:sz w:val="24"/>
          <w:lang w:val="en-US"/>
        </w:rPr>
        <w:t xml:space="preserve"> </w:t>
      </w:r>
      <w:r w:rsidR="00FC6472" w:rsidRPr="00FC6472">
        <w:rPr>
          <w:rFonts w:ascii="Times New Roman" w:hAnsi="Times New Roman"/>
          <w:b/>
          <w:sz w:val="24"/>
          <w:lang w:val="en-US"/>
        </w:rPr>
        <w:t>cannot be listed with consensus in Annex III</w:t>
      </w:r>
    </w:p>
    <w:p w14:paraId="5D43FB20" w14:textId="77777777" w:rsidR="00195847" w:rsidRDefault="00195847" w:rsidP="002F3879">
      <w:pPr>
        <w:jc w:val="both"/>
        <w:rPr>
          <w:rFonts w:ascii="Times New Roman" w:hAnsi="Times New Roman"/>
          <w:lang w:val="en-US"/>
        </w:rPr>
      </w:pPr>
    </w:p>
    <w:p w14:paraId="1405D0DF" w14:textId="77777777" w:rsidR="00195847" w:rsidRPr="000D6DCB" w:rsidRDefault="00195847" w:rsidP="002F3879">
      <w:pPr>
        <w:jc w:val="both"/>
        <w:rPr>
          <w:rFonts w:ascii="Times New Roman" w:hAnsi="Times New Roman"/>
          <w:i/>
          <w:lang w:val="en-US"/>
        </w:rPr>
      </w:pPr>
      <w:r w:rsidRPr="000D6DCB">
        <w:rPr>
          <w:rFonts w:ascii="Times New Roman" w:hAnsi="Times New Roman"/>
          <w:i/>
          <w:lang w:val="en-US"/>
        </w:rPr>
        <w:t>3.1 Options for the creation of a new Annex</w:t>
      </w:r>
    </w:p>
    <w:p w14:paraId="3E2AB11C" w14:textId="77777777" w:rsidR="00195847" w:rsidRDefault="00195847" w:rsidP="002F3879">
      <w:pPr>
        <w:jc w:val="both"/>
        <w:rPr>
          <w:rFonts w:ascii="Times New Roman" w:hAnsi="Times New Roman"/>
          <w:lang w:val="en-US"/>
        </w:rPr>
      </w:pPr>
    </w:p>
    <w:p w14:paraId="06D95E8F" w14:textId="495A5A59" w:rsidR="00766ABE" w:rsidRDefault="002F3879" w:rsidP="002F3879">
      <w:pPr>
        <w:jc w:val="both"/>
        <w:rPr>
          <w:rFonts w:ascii="Times New Roman" w:hAnsi="Times New Roman"/>
          <w:lang w:val="en-US"/>
        </w:rPr>
      </w:pPr>
      <w:r w:rsidRPr="0020350B">
        <w:rPr>
          <w:rFonts w:ascii="Times New Roman" w:hAnsi="Times New Roman"/>
          <w:lang w:val="en-US"/>
        </w:rPr>
        <w:t xml:space="preserve">The </w:t>
      </w:r>
      <w:r w:rsidR="00BB533A">
        <w:rPr>
          <w:rFonts w:ascii="Times New Roman" w:hAnsi="Times New Roman"/>
          <w:lang w:val="en-US"/>
        </w:rPr>
        <w:t>other</w:t>
      </w:r>
      <w:r w:rsidRPr="0020350B">
        <w:rPr>
          <w:rFonts w:ascii="Times New Roman" w:hAnsi="Times New Roman"/>
          <w:lang w:val="en-US"/>
        </w:rPr>
        <w:t xml:space="preserve"> option proposed by the thought</w:t>
      </w:r>
      <w:r w:rsidR="00550289">
        <w:rPr>
          <w:rFonts w:ascii="Times New Roman" w:hAnsi="Times New Roman"/>
          <w:lang w:val="en-US"/>
        </w:rPr>
        <w:t>-</w:t>
      </w:r>
      <w:r w:rsidRPr="0020350B">
        <w:rPr>
          <w:rFonts w:ascii="Times New Roman" w:hAnsi="Times New Roman"/>
          <w:lang w:val="en-US"/>
        </w:rPr>
        <w:t xml:space="preserve">starter document is the creation of a new </w:t>
      </w:r>
      <w:r w:rsidR="00550289">
        <w:rPr>
          <w:rFonts w:ascii="Times New Roman" w:hAnsi="Times New Roman"/>
          <w:lang w:val="en-US"/>
        </w:rPr>
        <w:t>a</w:t>
      </w:r>
      <w:r w:rsidRPr="0020350B">
        <w:rPr>
          <w:rFonts w:ascii="Times New Roman" w:hAnsi="Times New Roman"/>
          <w:lang w:val="en-US"/>
        </w:rPr>
        <w:t xml:space="preserve">nnex, where chemicals on which no consensus </w:t>
      </w:r>
      <w:r w:rsidR="00550289">
        <w:rPr>
          <w:rFonts w:ascii="Times New Roman" w:hAnsi="Times New Roman"/>
          <w:lang w:val="en-US"/>
        </w:rPr>
        <w:t>is</w:t>
      </w:r>
      <w:r w:rsidRPr="0020350B">
        <w:rPr>
          <w:rFonts w:ascii="Times New Roman" w:hAnsi="Times New Roman"/>
          <w:lang w:val="en-US"/>
        </w:rPr>
        <w:t xml:space="preserve"> reached</w:t>
      </w:r>
      <w:r w:rsidR="00EB4407">
        <w:rPr>
          <w:rFonts w:ascii="Times New Roman" w:hAnsi="Times New Roman"/>
          <w:lang w:val="en-US"/>
        </w:rPr>
        <w:t xml:space="preserve"> </w:t>
      </w:r>
      <w:r w:rsidR="00EB4407" w:rsidRPr="0020350B">
        <w:rPr>
          <w:rFonts w:ascii="Times New Roman" w:hAnsi="Times New Roman"/>
          <w:lang w:val="en-US"/>
        </w:rPr>
        <w:t>can be listed</w:t>
      </w:r>
      <w:r w:rsidRPr="0020350B">
        <w:rPr>
          <w:rFonts w:ascii="Times New Roman" w:hAnsi="Times New Roman"/>
          <w:lang w:val="en-US"/>
        </w:rPr>
        <w:t xml:space="preserve">. </w:t>
      </w:r>
      <w:r w:rsidR="00AE7DF6">
        <w:rPr>
          <w:rFonts w:ascii="Times New Roman" w:hAnsi="Times New Roman"/>
          <w:lang w:val="en-US"/>
        </w:rPr>
        <w:t xml:space="preserve">There is currently no specific proposal for creating </w:t>
      </w:r>
      <w:r w:rsidR="00222C4C">
        <w:rPr>
          <w:rFonts w:ascii="Times New Roman" w:hAnsi="Times New Roman"/>
          <w:lang w:val="en-US"/>
        </w:rPr>
        <w:t xml:space="preserve">such an </w:t>
      </w:r>
      <w:r w:rsidR="00AE7DF6">
        <w:rPr>
          <w:rFonts w:ascii="Times New Roman" w:hAnsi="Times New Roman"/>
          <w:lang w:val="en-US"/>
        </w:rPr>
        <w:t xml:space="preserve">annex. The usefulness of such a new annex </w:t>
      </w:r>
      <w:r w:rsidR="00222C4C">
        <w:rPr>
          <w:rFonts w:ascii="Times New Roman" w:hAnsi="Times New Roman"/>
          <w:lang w:val="en-US"/>
        </w:rPr>
        <w:t xml:space="preserve">to the effectiveness of the Convention </w:t>
      </w:r>
      <w:r w:rsidR="00AE7DF6">
        <w:rPr>
          <w:rFonts w:ascii="Times New Roman" w:hAnsi="Times New Roman"/>
          <w:lang w:val="en-US"/>
        </w:rPr>
        <w:t xml:space="preserve">would largely depend on the obligations attached to the substance </w:t>
      </w:r>
      <w:r w:rsidR="00AA693C">
        <w:rPr>
          <w:rFonts w:ascii="Times New Roman" w:hAnsi="Times New Roman"/>
          <w:lang w:val="en-US"/>
        </w:rPr>
        <w:t xml:space="preserve">listed </w:t>
      </w:r>
      <w:r w:rsidR="00E52922">
        <w:rPr>
          <w:rFonts w:ascii="Times New Roman" w:hAnsi="Times New Roman"/>
          <w:lang w:val="en-US"/>
        </w:rPr>
        <w:t>in</w:t>
      </w:r>
      <w:r w:rsidR="00AE7DF6">
        <w:rPr>
          <w:rFonts w:ascii="Times New Roman" w:hAnsi="Times New Roman"/>
          <w:lang w:val="en-US"/>
        </w:rPr>
        <w:t xml:space="preserve"> this new annex. Requirements could range from imposing a strict PIC procedure </w:t>
      </w:r>
      <w:r w:rsidR="00555E61">
        <w:rPr>
          <w:rFonts w:ascii="Times New Roman" w:hAnsi="Times New Roman"/>
          <w:lang w:val="en-US"/>
        </w:rPr>
        <w:t xml:space="preserve">for </w:t>
      </w:r>
      <w:r w:rsidR="00AE7DF6">
        <w:rPr>
          <w:rFonts w:ascii="Times New Roman" w:hAnsi="Times New Roman"/>
          <w:lang w:val="en-US"/>
        </w:rPr>
        <w:t>the trade of such substances between parties (similar to existing Annex III)</w:t>
      </w:r>
      <w:r w:rsidR="00555E61">
        <w:rPr>
          <w:rFonts w:ascii="Times New Roman" w:hAnsi="Times New Roman"/>
          <w:lang w:val="en-US"/>
        </w:rPr>
        <w:t>,</w:t>
      </w:r>
      <w:r w:rsidR="00AE7DF6">
        <w:rPr>
          <w:rFonts w:ascii="Times New Roman" w:hAnsi="Times New Roman"/>
          <w:lang w:val="en-US"/>
        </w:rPr>
        <w:t xml:space="preserve"> to </w:t>
      </w:r>
      <w:r w:rsidR="00555E61">
        <w:rPr>
          <w:rFonts w:ascii="Times New Roman" w:hAnsi="Times New Roman"/>
          <w:lang w:val="en-US"/>
        </w:rPr>
        <w:t xml:space="preserve">creating </w:t>
      </w:r>
      <w:r w:rsidR="00AE7DF6">
        <w:rPr>
          <w:rFonts w:ascii="Times New Roman" w:hAnsi="Times New Roman"/>
          <w:lang w:val="en-US"/>
        </w:rPr>
        <w:t xml:space="preserve">specific information sharing requirements, </w:t>
      </w:r>
      <w:r w:rsidR="00555E61">
        <w:rPr>
          <w:rFonts w:ascii="Times New Roman" w:hAnsi="Times New Roman"/>
          <w:lang w:val="en-US"/>
        </w:rPr>
        <w:t xml:space="preserve">to </w:t>
      </w:r>
      <w:r w:rsidR="00CC625F">
        <w:rPr>
          <w:rFonts w:ascii="Times New Roman" w:hAnsi="Times New Roman"/>
          <w:lang w:val="en-US"/>
        </w:rPr>
        <w:t>mandating</w:t>
      </w:r>
      <w:r w:rsidR="00555E61">
        <w:rPr>
          <w:rFonts w:ascii="Times New Roman" w:hAnsi="Times New Roman"/>
          <w:lang w:val="en-US"/>
        </w:rPr>
        <w:t xml:space="preserve"> </w:t>
      </w:r>
      <w:r w:rsidR="00AE7DF6">
        <w:rPr>
          <w:rFonts w:ascii="Times New Roman" w:hAnsi="Times New Roman"/>
          <w:lang w:val="en-US"/>
        </w:rPr>
        <w:t>technical and financial assistance</w:t>
      </w:r>
      <w:r w:rsidR="00766ABE">
        <w:rPr>
          <w:rFonts w:ascii="Times New Roman" w:hAnsi="Times New Roman"/>
          <w:lang w:val="en-US"/>
        </w:rPr>
        <w:t xml:space="preserve"> to developing countries</w:t>
      </w:r>
      <w:r w:rsidR="00AE7DF6">
        <w:rPr>
          <w:rFonts w:ascii="Times New Roman" w:hAnsi="Times New Roman"/>
          <w:lang w:val="en-US"/>
        </w:rPr>
        <w:t xml:space="preserve"> to manage such chemicals adequately</w:t>
      </w:r>
      <w:r w:rsidR="00B57E43">
        <w:rPr>
          <w:rFonts w:ascii="Times New Roman" w:hAnsi="Times New Roman"/>
          <w:lang w:val="en-US"/>
        </w:rPr>
        <w:t xml:space="preserve">. </w:t>
      </w:r>
    </w:p>
    <w:p w14:paraId="5C0D5031" w14:textId="77777777" w:rsidR="00766ABE" w:rsidRDefault="00766ABE" w:rsidP="002F3879">
      <w:pPr>
        <w:jc w:val="both"/>
        <w:rPr>
          <w:rFonts w:ascii="Times New Roman" w:hAnsi="Times New Roman"/>
          <w:lang w:val="en-US"/>
        </w:rPr>
      </w:pPr>
    </w:p>
    <w:p w14:paraId="05CA4324" w14:textId="2A48D955" w:rsidR="001A791E" w:rsidRDefault="00B57E43" w:rsidP="002F3879">
      <w:pPr>
        <w:jc w:val="both"/>
        <w:rPr>
          <w:rFonts w:ascii="Times New Roman" w:hAnsi="Times New Roman"/>
          <w:lang w:val="en-US"/>
        </w:rPr>
      </w:pPr>
      <w:r>
        <w:rPr>
          <w:rFonts w:ascii="Times New Roman" w:hAnsi="Times New Roman"/>
          <w:lang w:val="en-US"/>
        </w:rPr>
        <w:t xml:space="preserve">The procedure to list substances </w:t>
      </w:r>
      <w:r w:rsidR="00F56919">
        <w:rPr>
          <w:rFonts w:ascii="Times New Roman" w:hAnsi="Times New Roman"/>
          <w:lang w:val="en-US"/>
        </w:rPr>
        <w:t>in</w:t>
      </w:r>
      <w:r>
        <w:rPr>
          <w:rFonts w:ascii="Times New Roman" w:hAnsi="Times New Roman"/>
          <w:lang w:val="en-US"/>
        </w:rPr>
        <w:t xml:space="preserve"> this new annex </w:t>
      </w:r>
      <w:r w:rsidR="00222C4C">
        <w:rPr>
          <w:rFonts w:ascii="Times New Roman" w:hAnsi="Times New Roman"/>
          <w:lang w:val="en-US"/>
        </w:rPr>
        <w:t xml:space="preserve">should </w:t>
      </w:r>
      <w:r>
        <w:rPr>
          <w:rFonts w:ascii="Times New Roman" w:hAnsi="Times New Roman"/>
          <w:lang w:val="en-US"/>
        </w:rPr>
        <w:t>similarly be specified</w:t>
      </w:r>
      <w:r w:rsidR="00222C4C">
        <w:rPr>
          <w:rFonts w:ascii="Times New Roman" w:hAnsi="Times New Roman"/>
          <w:lang w:val="en-US"/>
        </w:rPr>
        <w:t xml:space="preserve"> and could range </w:t>
      </w:r>
      <w:r>
        <w:rPr>
          <w:rFonts w:ascii="Times New Roman" w:hAnsi="Times New Roman"/>
          <w:lang w:val="en-US"/>
        </w:rPr>
        <w:t>from a consensus COP decision</w:t>
      </w:r>
      <w:r w:rsidR="00F56919">
        <w:rPr>
          <w:rFonts w:ascii="Times New Roman" w:hAnsi="Times New Roman"/>
          <w:lang w:val="en-US"/>
        </w:rPr>
        <w:t>,</w:t>
      </w:r>
      <w:r>
        <w:rPr>
          <w:rFonts w:ascii="Times New Roman" w:hAnsi="Times New Roman"/>
          <w:lang w:val="en-US"/>
        </w:rPr>
        <w:t xml:space="preserve"> to a voting option</w:t>
      </w:r>
      <w:r w:rsidR="00AE7DF6">
        <w:rPr>
          <w:rFonts w:ascii="Times New Roman" w:hAnsi="Times New Roman"/>
          <w:lang w:val="en-US"/>
        </w:rPr>
        <w:t xml:space="preserve">, to </w:t>
      </w:r>
      <w:r>
        <w:rPr>
          <w:rFonts w:ascii="Times New Roman" w:hAnsi="Times New Roman"/>
          <w:lang w:val="en-US"/>
        </w:rPr>
        <w:t>automatic listing by the CRC</w:t>
      </w:r>
      <w:r w:rsidR="00AE7DF6">
        <w:rPr>
          <w:rFonts w:ascii="Times New Roman" w:hAnsi="Times New Roman"/>
          <w:lang w:val="en-US"/>
        </w:rPr>
        <w:t>.</w:t>
      </w:r>
      <w:r w:rsidR="001A791E">
        <w:rPr>
          <w:rFonts w:ascii="Times New Roman" w:hAnsi="Times New Roman"/>
          <w:lang w:val="en-US"/>
        </w:rPr>
        <w:t xml:space="preserve"> </w:t>
      </w:r>
      <w:r w:rsidR="00195847">
        <w:rPr>
          <w:rFonts w:ascii="Times New Roman" w:hAnsi="Times New Roman"/>
          <w:lang w:val="en-US"/>
        </w:rPr>
        <w:t>The decision to create a new annex could also include a provision relat</w:t>
      </w:r>
      <w:r w:rsidR="00FA19D6">
        <w:rPr>
          <w:rFonts w:ascii="Times New Roman" w:hAnsi="Times New Roman"/>
          <w:lang w:val="en-US"/>
        </w:rPr>
        <w:t>ed</w:t>
      </w:r>
      <w:r w:rsidR="00195847">
        <w:rPr>
          <w:rFonts w:ascii="Times New Roman" w:hAnsi="Times New Roman"/>
          <w:lang w:val="en-US"/>
        </w:rPr>
        <w:t xml:space="preserve"> to the future listing of chemicals from the new annex to the original Annex III. </w:t>
      </w:r>
      <w:r w:rsidR="00195847" w:rsidRPr="002F72F8">
        <w:rPr>
          <w:rFonts w:ascii="Times New Roman" w:hAnsi="Times New Roman"/>
          <w:lang w:val="en-US"/>
        </w:rPr>
        <w:t>It is not the object of this paper to go into the details of all possible options for such a new annex.</w:t>
      </w:r>
    </w:p>
    <w:p w14:paraId="3B7E7FAA" w14:textId="77777777" w:rsidR="001A791E" w:rsidRDefault="001A791E" w:rsidP="002F3879">
      <w:pPr>
        <w:jc w:val="both"/>
        <w:rPr>
          <w:rFonts w:ascii="Times New Roman" w:hAnsi="Times New Roman"/>
          <w:lang w:val="en-US"/>
        </w:rPr>
      </w:pPr>
    </w:p>
    <w:p w14:paraId="7EF47073" w14:textId="77777777" w:rsidR="001A791E" w:rsidRPr="000D6DCB" w:rsidRDefault="00195847" w:rsidP="002F3879">
      <w:pPr>
        <w:jc w:val="both"/>
        <w:rPr>
          <w:rFonts w:ascii="Times New Roman" w:hAnsi="Times New Roman"/>
          <w:i/>
          <w:lang w:val="en-US"/>
        </w:rPr>
      </w:pPr>
      <w:r w:rsidRPr="000D6DCB">
        <w:rPr>
          <w:rFonts w:ascii="Times New Roman" w:hAnsi="Times New Roman"/>
          <w:i/>
          <w:lang w:val="en-US"/>
        </w:rPr>
        <w:t>3.2</w:t>
      </w:r>
      <w:r w:rsidR="001A791E" w:rsidRPr="000D6DCB">
        <w:rPr>
          <w:rFonts w:ascii="Times New Roman" w:hAnsi="Times New Roman"/>
          <w:i/>
          <w:lang w:val="en-US"/>
        </w:rPr>
        <w:t xml:space="preserve"> Procedural implications of the adoption of a new annex</w:t>
      </w:r>
    </w:p>
    <w:p w14:paraId="028AE7DD" w14:textId="77777777" w:rsidR="001A791E" w:rsidRDefault="001A791E" w:rsidP="002F3879">
      <w:pPr>
        <w:jc w:val="both"/>
        <w:rPr>
          <w:rFonts w:ascii="Times New Roman" w:hAnsi="Times New Roman"/>
          <w:lang w:val="en-US"/>
        </w:rPr>
      </w:pPr>
    </w:p>
    <w:p w14:paraId="25EDB4F8" w14:textId="414251C4" w:rsidR="00B044E0" w:rsidRDefault="001A791E" w:rsidP="002F3879">
      <w:pPr>
        <w:jc w:val="both"/>
        <w:rPr>
          <w:rFonts w:ascii="Times New Roman" w:hAnsi="Times New Roman"/>
          <w:lang w:val="en-US"/>
        </w:rPr>
      </w:pPr>
      <w:r>
        <w:rPr>
          <w:rFonts w:ascii="Times New Roman" w:hAnsi="Times New Roman"/>
          <w:lang w:val="en-US"/>
        </w:rPr>
        <w:t xml:space="preserve">Whatever the obligations attached to the listing </w:t>
      </w:r>
      <w:r w:rsidR="00623C0D">
        <w:rPr>
          <w:rFonts w:ascii="Times New Roman" w:hAnsi="Times New Roman"/>
          <w:lang w:val="en-US"/>
        </w:rPr>
        <w:t>in</w:t>
      </w:r>
      <w:r>
        <w:rPr>
          <w:rFonts w:ascii="Times New Roman" w:hAnsi="Times New Roman"/>
          <w:lang w:val="en-US"/>
        </w:rPr>
        <w:t xml:space="preserve"> a new annex, the creation of </w:t>
      </w:r>
      <w:r w:rsidR="00FC22C5">
        <w:rPr>
          <w:rFonts w:ascii="Times New Roman" w:hAnsi="Times New Roman"/>
          <w:lang w:val="en-US"/>
        </w:rPr>
        <w:t xml:space="preserve">such </w:t>
      </w:r>
      <w:r>
        <w:rPr>
          <w:rFonts w:ascii="Times New Roman" w:hAnsi="Times New Roman"/>
          <w:lang w:val="en-US"/>
        </w:rPr>
        <w:t>a</w:t>
      </w:r>
      <w:r w:rsidR="00FC22C5">
        <w:rPr>
          <w:rFonts w:ascii="Times New Roman" w:hAnsi="Times New Roman"/>
          <w:lang w:val="en-US"/>
        </w:rPr>
        <w:t>n</w:t>
      </w:r>
      <w:r>
        <w:rPr>
          <w:rFonts w:ascii="Times New Roman" w:hAnsi="Times New Roman"/>
          <w:lang w:val="en-US"/>
        </w:rPr>
        <w:t xml:space="preserve"> annex would </w:t>
      </w:r>
      <w:r w:rsidR="002C5181">
        <w:rPr>
          <w:rFonts w:ascii="Times New Roman" w:hAnsi="Times New Roman"/>
          <w:lang w:val="en-US"/>
        </w:rPr>
        <w:t>likely impact the existing dynamics of the Convention.</w:t>
      </w:r>
    </w:p>
    <w:p w14:paraId="2B4463F7" w14:textId="77777777" w:rsidR="0068072C" w:rsidRDefault="0068072C" w:rsidP="002F3879">
      <w:pPr>
        <w:jc w:val="both"/>
        <w:rPr>
          <w:rFonts w:ascii="Times New Roman" w:hAnsi="Times New Roman"/>
          <w:lang w:val="en-US"/>
        </w:rPr>
      </w:pPr>
    </w:p>
    <w:p w14:paraId="79BBCB5A" w14:textId="13294BFB" w:rsidR="002C5181" w:rsidRDefault="002C5181" w:rsidP="002F3879">
      <w:pPr>
        <w:jc w:val="both"/>
        <w:rPr>
          <w:rFonts w:ascii="Times New Roman" w:hAnsi="Times New Roman"/>
          <w:lang w:val="en-US"/>
        </w:rPr>
      </w:pPr>
      <w:r>
        <w:rPr>
          <w:rFonts w:ascii="Times New Roman" w:hAnsi="Times New Roman"/>
          <w:lang w:val="en-US"/>
        </w:rPr>
        <w:t xml:space="preserve">As mentioned </w:t>
      </w:r>
      <w:r w:rsidR="00623C0D">
        <w:rPr>
          <w:rFonts w:ascii="Times New Roman" w:hAnsi="Times New Roman"/>
          <w:lang w:val="en-US"/>
        </w:rPr>
        <w:t>above</w:t>
      </w:r>
      <w:r w:rsidR="0068072C">
        <w:rPr>
          <w:rFonts w:ascii="Times New Roman" w:hAnsi="Times New Roman"/>
          <w:lang w:val="en-US"/>
        </w:rPr>
        <w:t xml:space="preserve">, </w:t>
      </w:r>
      <w:r w:rsidR="00623C0D">
        <w:rPr>
          <w:rFonts w:ascii="Times New Roman" w:hAnsi="Times New Roman"/>
          <w:lang w:val="en-US"/>
        </w:rPr>
        <w:t>if a</w:t>
      </w:r>
      <w:r w:rsidR="0068072C">
        <w:rPr>
          <w:rFonts w:ascii="Times New Roman" w:hAnsi="Times New Roman"/>
          <w:lang w:val="en-US"/>
        </w:rPr>
        <w:t xml:space="preserve"> new annex </w:t>
      </w:r>
      <w:r w:rsidR="00623C0D">
        <w:rPr>
          <w:rFonts w:ascii="Times New Roman" w:hAnsi="Times New Roman"/>
          <w:lang w:val="en-US"/>
        </w:rPr>
        <w:t>is adopted through</w:t>
      </w:r>
      <w:r w:rsidR="0068072C">
        <w:rPr>
          <w:rFonts w:ascii="Times New Roman" w:hAnsi="Times New Roman"/>
          <w:lang w:val="en-US"/>
        </w:rPr>
        <w:t xml:space="preserve"> a COP decision</w:t>
      </w:r>
      <w:r w:rsidR="00766ABE">
        <w:rPr>
          <w:rFonts w:ascii="Times New Roman" w:hAnsi="Times New Roman"/>
          <w:lang w:val="en-US"/>
        </w:rPr>
        <w:t>,</w:t>
      </w:r>
      <w:r w:rsidR="0068072C">
        <w:rPr>
          <w:rFonts w:ascii="Times New Roman" w:hAnsi="Times New Roman"/>
          <w:lang w:val="en-US"/>
        </w:rPr>
        <w:t xml:space="preserve"> </w:t>
      </w:r>
      <w:r w:rsidR="00766ABE">
        <w:rPr>
          <w:rFonts w:ascii="Times New Roman" w:hAnsi="Times New Roman"/>
          <w:lang w:val="en-US"/>
        </w:rPr>
        <w:t>a</w:t>
      </w:r>
      <w:r w:rsidR="0068072C">
        <w:rPr>
          <w:rFonts w:ascii="Times New Roman" w:hAnsi="Times New Roman"/>
          <w:lang w:val="en-US"/>
        </w:rPr>
        <w:t xml:space="preserve">ny Party may notify the </w:t>
      </w:r>
      <w:r w:rsidR="00623C0D">
        <w:rPr>
          <w:rFonts w:ascii="Times New Roman" w:hAnsi="Times New Roman"/>
          <w:lang w:val="en-US"/>
        </w:rPr>
        <w:t>S</w:t>
      </w:r>
      <w:r w:rsidR="0068072C">
        <w:rPr>
          <w:rFonts w:ascii="Times New Roman" w:hAnsi="Times New Roman"/>
          <w:lang w:val="en-US"/>
        </w:rPr>
        <w:t xml:space="preserve">ecretariat of </w:t>
      </w:r>
      <w:r w:rsidR="00360924">
        <w:rPr>
          <w:rFonts w:ascii="Times New Roman" w:hAnsi="Times New Roman"/>
          <w:lang w:val="en-US"/>
        </w:rPr>
        <w:t xml:space="preserve">its </w:t>
      </w:r>
      <w:r w:rsidR="0068072C">
        <w:rPr>
          <w:rFonts w:ascii="Times New Roman" w:hAnsi="Times New Roman"/>
          <w:lang w:val="en-US"/>
        </w:rPr>
        <w:t xml:space="preserve">non-acceptance of the new annex. </w:t>
      </w:r>
      <w:r w:rsidR="00623C0D">
        <w:rPr>
          <w:rFonts w:ascii="Times New Roman" w:hAnsi="Times New Roman"/>
          <w:lang w:val="en-US"/>
        </w:rPr>
        <w:t>These Parties</w:t>
      </w:r>
      <w:r w:rsidR="0068072C">
        <w:rPr>
          <w:rFonts w:ascii="Times New Roman" w:hAnsi="Times New Roman"/>
          <w:lang w:val="en-US"/>
        </w:rPr>
        <w:t xml:space="preserve"> would not be bound by any of the obligations attached to the listing of a substance </w:t>
      </w:r>
      <w:r w:rsidR="00360924">
        <w:rPr>
          <w:rFonts w:ascii="Times New Roman" w:hAnsi="Times New Roman"/>
          <w:lang w:val="en-US"/>
        </w:rPr>
        <w:t>in</w:t>
      </w:r>
      <w:r w:rsidR="0068072C">
        <w:rPr>
          <w:rFonts w:ascii="Times New Roman" w:hAnsi="Times New Roman"/>
          <w:lang w:val="en-US"/>
        </w:rPr>
        <w:t xml:space="preserve"> th</w:t>
      </w:r>
      <w:r w:rsidR="00B2770C">
        <w:rPr>
          <w:rFonts w:ascii="Times New Roman" w:hAnsi="Times New Roman"/>
          <w:lang w:val="en-US"/>
        </w:rPr>
        <w:t>e</w:t>
      </w:r>
      <w:r w:rsidR="0068072C">
        <w:rPr>
          <w:rFonts w:ascii="Times New Roman" w:hAnsi="Times New Roman"/>
          <w:lang w:val="en-US"/>
        </w:rPr>
        <w:t xml:space="preserve"> new annex.</w:t>
      </w:r>
    </w:p>
    <w:p w14:paraId="3475269E" w14:textId="77777777" w:rsidR="0068072C" w:rsidRDefault="0068072C" w:rsidP="002F3879">
      <w:pPr>
        <w:jc w:val="both"/>
        <w:rPr>
          <w:rFonts w:ascii="Times New Roman" w:hAnsi="Times New Roman"/>
          <w:lang w:val="en-US"/>
        </w:rPr>
      </w:pPr>
    </w:p>
    <w:p w14:paraId="0D575D09" w14:textId="1E67CE53" w:rsidR="0068072C" w:rsidRDefault="0068072C" w:rsidP="002F3879">
      <w:pPr>
        <w:jc w:val="both"/>
        <w:rPr>
          <w:rFonts w:ascii="Times New Roman" w:hAnsi="Times New Roman"/>
          <w:lang w:val="en-US"/>
        </w:rPr>
      </w:pPr>
      <w:r>
        <w:rPr>
          <w:rFonts w:ascii="Times New Roman" w:hAnsi="Times New Roman"/>
          <w:lang w:val="en-US"/>
        </w:rPr>
        <w:t xml:space="preserve">Similar to the situation </w:t>
      </w:r>
      <w:r w:rsidR="00B2770C">
        <w:rPr>
          <w:rFonts w:ascii="Times New Roman" w:hAnsi="Times New Roman"/>
          <w:lang w:val="en-US"/>
        </w:rPr>
        <w:t xml:space="preserve">discussed above where two Annex IIIs would </w:t>
      </w:r>
      <w:r w:rsidR="008263EF">
        <w:rPr>
          <w:rFonts w:ascii="Times New Roman" w:hAnsi="Times New Roman"/>
          <w:lang w:val="en-US"/>
        </w:rPr>
        <w:t>remain</w:t>
      </w:r>
      <w:r w:rsidR="00B2770C">
        <w:rPr>
          <w:rFonts w:ascii="Times New Roman" w:hAnsi="Times New Roman"/>
          <w:lang w:val="en-US"/>
        </w:rPr>
        <w:t xml:space="preserve"> unless or until an amendment </w:t>
      </w:r>
      <w:r w:rsidR="007B4620">
        <w:rPr>
          <w:rFonts w:ascii="Times New Roman" w:hAnsi="Times New Roman"/>
          <w:lang w:val="en-US"/>
        </w:rPr>
        <w:t>to the voting procedures for listing substances was ratified by all Parties,</w:t>
      </w:r>
      <w:r w:rsidR="009C04CE">
        <w:rPr>
          <w:rFonts w:ascii="Times New Roman" w:hAnsi="Times New Roman"/>
          <w:lang w:val="en-US"/>
        </w:rPr>
        <w:t xml:space="preserve"> </w:t>
      </w:r>
      <w:r w:rsidR="007B4620">
        <w:rPr>
          <w:rFonts w:ascii="Times New Roman" w:hAnsi="Times New Roman"/>
          <w:lang w:val="en-US"/>
        </w:rPr>
        <w:t>the creation of a new annex would also lead to a two-tier system for the convention,</w:t>
      </w:r>
      <w:r w:rsidR="007B4620" w:rsidDel="007B4620">
        <w:rPr>
          <w:rFonts w:ascii="Times New Roman" w:hAnsi="Times New Roman"/>
          <w:lang w:val="en-US"/>
        </w:rPr>
        <w:t xml:space="preserve"> </w:t>
      </w:r>
      <w:r>
        <w:rPr>
          <w:rFonts w:ascii="Times New Roman" w:hAnsi="Times New Roman"/>
          <w:lang w:val="en-US"/>
        </w:rPr>
        <w:t>unless the new annex is unanimously agreed to and no Party decides to notify its non-acceptance. Trade between parties t</w:t>
      </w:r>
      <w:r w:rsidR="00B57E43">
        <w:rPr>
          <w:rFonts w:ascii="Times New Roman" w:hAnsi="Times New Roman"/>
          <w:lang w:val="en-US"/>
        </w:rPr>
        <w:t>hat have not notified their non-</w:t>
      </w:r>
      <w:r>
        <w:rPr>
          <w:rFonts w:ascii="Times New Roman" w:hAnsi="Times New Roman"/>
          <w:lang w:val="en-US"/>
        </w:rPr>
        <w:t>acceptance of the new annex</w:t>
      </w:r>
      <w:r w:rsidR="00E3763B">
        <w:rPr>
          <w:rFonts w:ascii="Times New Roman" w:hAnsi="Times New Roman"/>
          <w:lang w:val="en-US"/>
        </w:rPr>
        <w:t xml:space="preserve"> of</w:t>
      </w:r>
      <w:r>
        <w:rPr>
          <w:rFonts w:ascii="Times New Roman" w:hAnsi="Times New Roman"/>
          <w:lang w:val="en-US"/>
        </w:rPr>
        <w:t xml:space="preserve"> substances </w:t>
      </w:r>
      <w:r w:rsidR="00E3763B">
        <w:rPr>
          <w:rFonts w:ascii="Times New Roman" w:hAnsi="Times New Roman"/>
          <w:lang w:val="en-US"/>
        </w:rPr>
        <w:t xml:space="preserve">listed </w:t>
      </w:r>
      <w:r w:rsidR="00FE769D">
        <w:rPr>
          <w:rFonts w:ascii="Times New Roman" w:hAnsi="Times New Roman"/>
          <w:lang w:val="en-US"/>
        </w:rPr>
        <w:t>on</w:t>
      </w:r>
      <w:r>
        <w:rPr>
          <w:rFonts w:ascii="Times New Roman" w:hAnsi="Times New Roman"/>
          <w:lang w:val="en-US"/>
        </w:rPr>
        <w:t xml:space="preserve"> this new annex, would be subject to </w:t>
      </w:r>
      <w:r w:rsidR="00FE769D">
        <w:rPr>
          <w:rFonts w:ascii="Times New Roman" w:hAnsi="Times New Roman"/>
          <w:lang w:val="en-US"/>
        </w:rPr>
        <w:t xml:space="preserve">the </w:t>
      </w:r>
      <w:r>
        <w:rPr>
          <w:rFonts w:ascii="Times New Roman" w:hAnsi="Times New Roman"/>
          <w:lang w:val="en-US"/>
        </w:rPr>
        <w:t xml:space="preserve">specific obligations </w:t>
      </w:r>
      <w:r w:rsidR="00FE769D">
        <w:rPr>
          <w:rFonts w:ascii="Times New Roman" w:hAnsi="Times New Roman"/>
          <w:lang w:val="en-US"/>
        </w:rPr>
        <w:t>of that new annex. Conversely, trade between a party that has accepted the new annex and one that ha</w:t>
      </w:r>
      <w:r w:rsidR="00766ABE">
        <w:rPr>
          <w:rFonts w:ascii="Times New Roman" w:hAnsi="Times New Roman"/>
          <w:lang w:val="en-US"/>
        </w:rPr>
        <w:t>s</w:t>
      </w:r>
      <w:r w:rsidR="00FE769D">
        <w:rPr>
          <w:rFonts w:ascii="Times New Roman" w:hAnsi="Times New Roman"/>
          <w:lang w:val="en-US"/>
        </w:rPr>
        <w:t xml:space="preserve"> notified its non</w:t>
      </w:r>
      <w:r w:rsidR="00813E42">
        <w:rPr>
          <w:rFonts w:ascii="Times New Roman" w:hAnsi="Times New Roman"/>
          <w:lang w:val="en-US"/>
        </w:rPr>
        <w:t>-</w:t>
      </w:r>
      <w:r w:rsidR="00FE769D">
        <w:rPr>
          <w:rFonts w:ascii="Times New Roman" w:hAnsi="Times New Roman"/>
          <w:lang w:val="en-US"/>
        </w:rPr>
        <w:t xml:space="preserve">acceptance would be governed by the original convention (and would therefore not be subject to any specific obligations). </w:t>
      </w:r>
    </w:p>
    <w:p w14:paraId="6B98C961" w14:textId="77777777" w:rsidR="00195847" w:rsidRDefault="00195847" w:rsidP="002F3879">
      <w:pPr>
        <w:jc w:val="both"/>
        <w:rPr>
          <w:rFonts w:ascii="Times New Roman" w:hAnsi="Times New Roman"/>
          <w:lang w:val="en-US"/>
        </w:rPr>
      </w:pPr>
    </w:p>
    <w:p w14:paraId="5F728765" w14:textId="0FB2D0C8" w:rsidR="00195847" w:rsidRDefault="00195847" w:rsidP="00B044E0">
      <w:pPr>
        <w:jc w:val="both"/>
        <w:rPr>
          <w:rFonts w:ascii="Times New Roman" w:hAnsi="Times New Roman"/>
          <w:lang w:val="en-US"/>
        </w:rPr>
      </w:pPr>
      <w:r>
        <w:rPr>
          <w:rFonts w:ascii="Times New Roman" w:hAnsi="Times New Roman"/>
          <w:lang w:val="en-US"/>
        </w:rPr>
        <w:t>Despite the two-tier system, t</w:t>
      </w:r>
      <w:r w:rsidRPr="00FC6472">
        <w:rPr>
          <w:rFonts w:ascii="Times New Roman" w:hAnsi="Times New Roman"/>
          <w:lang w:val="en-US"/>
        </w:rPr>
        <w:t xml:space="preserve">his would allow the Parties who want to move forward to do so, regardless of the </w:t>
      </w:r>
      <w:r w:rsidR="004467FC">
        <w:rPr>
          <w:rFonts w:ascii="Times New Roman" w:hAnsi="Times New Roman"/>
          <w:lang w:val="en-US"/>
        </w:rPr>
        <w:t xml:space="preserve">opposite </w:t>
      </w:r>
      <w:r w:rsidRPr="00FC6472">
        <w:rPr>
          <w:rFonts w:ascii="Times New Roman" w:hAnsi="Times New Roman"/>
          <w:lang w:val="en-US"/>
        </w:rPr>
        <w:t xml:space="preserve">stance of a few Parties to the Convention. </w:t>
      </w:r>
      <w:r>
        <w:rPr>
          <w:rFonts w:ascii="Times New Roman" w:hAnsi="Times New Roman"/>
          <w:lang w:val="en-US"/>
        </w:rPr>
        <w:t xml:space="preserve">There is a risk, however, that the Parties currently opposing consensus will never ratify the new list nor consent to any listing </w:t>
      </w:r>
      <w:r w:rsidR="004F32E1">
        <w:rPr>
          <w:rFonts w:ascii="Times New Roman" w:hAnsi="Times New Roman"/>
          <w:lang w:val="en-US"/>
        </w:rPr>
        <w:t xml:space="preserve">of </w:t>
      </w:r>
      <w:r>
        <w:rPr>
          <w:rFonts w:ascii="Times New Roman" w:hAnsi="Times New Roman"/>
          <w:lang w:val="en-US"/>
        </w:rPr>
        <w:t xml:space="preserve">new chemicals </w:t>
      </w:r>
      <w:r w:rsidR="00FD5E10">
        <w:rPr>
          <w:rFonts w:ascii="Times New Roman" w:hAnsi="Times New Roman"/>
          <w:lang w:val="en-US"/>
        </w:rPr>
        <w:t>in</w:t>
      </w:r>
      <w:r>
        <w:rPr>
          <w:rFonts w:ascii="Times New Roman" w:hAnsi="Times New Roman"/>
          <w:lang w:val="en-US"/>
        </w:rPr>
        <w:t xml:space="preserve"> the original Annex III, as the progressive parties now have their ‘own’ list to place these new substances on.</w:t>
      </w:r>
      <w:r>
        <w:rPr>
          <w:rStyle w:val="Marquenotebasdepage"/>
          <w:rFonts w:ascii="Times New Roman" w:hAnsi="Times New Roman"/>
          <w:lang w:val="en-US"/>
        </w:rPr>
        <w:footnoteReference w:id="12"/>
      </w:r>
      <w:r>
        <w:rPr>
          <w:rFonts w:ascii="Times New Roman" w:hAnsi="Times New Roman"/>
          <w:lang w:val="en-US"/>
        </w:rPr>
        <w:t xml:space="preserve"> </w:t>
      </w:r>
    </w:p>
    <w:p w14:paraId="47C122F4" w14:textId="77777777" w:rsidR="00195847" w:rsidRDefault="00195847" w:rsidP="00B044E0">
      <w:pPr>
        <w:jc w:val="both"/>
        <w:rPr>
          <w:rFonts w:ascii="Times New Roman" w:hAnsi="Times New Roman"/>
          <w:lang w:val="en-US"/>
        </w:rPr>
      </w:pPr>
    </w:p>
    <w:p w14:paraId="1E1642A4" w14:textId="1BABE8A0" w:rsidR="007913EE" w:rsidRPr="002072AB" w:rsidRDefault="007913EE" w:rsidP="0091447E">
      <w:pPr>
        <w:jc w:val="both"/>
        <w:rPr>
          <w:rFonts w:ascii="Times New Roman" w:hAnsi="Times New Roman"/>
          <w:lang w:val="en-US"/>
        </w:rPr>
      </w:pPr>
    </w:p>
    <w:sectPr w:rsidR="007913EE" w:rsidRPr="002072AB" w:rsidSect="00097DFF">
      <w:headerReference w:type="default" r:id="rId9"/>
      <w:footerReference w:type="even" r:id="rId10"/>
      <w:footerReference w:type="default" r:id="rId11"/>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AFA75" w14:textId="77777777" w:rsidR="00BA7534" w:rsidRDefault="00BA7534">
      <w:r>
        <w:separator/>
      </w:r>
    </w:p>
  </w:endnote>
  <w:endnote w:type="continuationSeparator" w:id="0">
    <w:p w14:paraId="63763CB7" w14:textId="77777777" w:rsidR="00BA7534" w:rsidRDefault="00BA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3C52" w14:textId="77777777" w:rsidR="00BA7534" w:rsidRDefault="00BA7534" w:rsidP="00097D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9EDFE4" w14:textId="77777777" w:rsidR="00BA7534" w:rsidRDefault="00BA7534" w:rsidP="0008332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B23F" w14:textId="77777777" w:rsidR="00BA7534" w:rsidRDefault="00BA7534" w:rsidP="00097D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D6DCB">
      <w:rPr>
        <w:rStyle w:val="Numrodepage"/>
        <w:noProof/>
      </w:rPr>
      <w:t>1</w:t>
    </w:r>
    <w:r>
      <w:rPr>
        <w:rStyle w:val="Numrodepage"/>
      </w:rPr>
      <w:fldChar w:fldCharType="end"/>
    </w:r>
  </w:p>
  <w:p w14:paraId="5B96E73D" w14:textId="77777777" w:rsidR="00BA7534" w:rsidRDefault="00BA7534" w:rsidP="0008332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477E8" w14:textId="77777777" w:rsidR="00BA7534" w:rsidRDefault="00BA7534">
      <w:r>
        <w:separator/>
      </w:r>
    </w:p>
  </w:footnote>
  <w:footnote w:type="continuationSeparator" w:id="0">
    <w:p w14:paraId="2981004C" w14:textId="77777777" w:rsidR="00BA7534" w:rsidRDefault="00BA7534">
      <w:r>
        <w:continuationSeparator/>
      </w:r>
    </w:p>
  </w:footnote>
  <w:footnote w:id="1">
    <w:p w14:paraId="6C2FA405" w14:textId="77777777" w:rsidR="00BA7534" w:rsidRPr="00904796" w:rsidRDefault="00BA7534" w:rsidP="00904796">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sidRPr="00904796">
        <w:rPr>
          <w:rFonts w:ascii="Times New Roman" w:hAnsi="Times New Roman" w:cs="Times New Roman"/>
          <w:sz w:val="20"/>
          <w:szCs w:val="20"/>
          <w:lang w:val="en-US"/>
        </w:rPr>
        <w:t xml:space="preserve"> UNEP, FAO, Rotterdam Convention on the Prior Informed Consent Procedure for certain Hazardous Chemicals and Pesticides in International Trade, Texts and Annexes (Revised in 2015), Introduction. </w:t>
      </w:r>
    </w:p>
  </w:footnote>
  <w:footnote w:id="2">
    <w:p w14:paraId="7AB4331F" w14:textId="587C9A16" w:rsidR="00BA7534" w:rsidRPr="00904796" w:rsidRDefault="00BA7534" w:rsidP="00904796">
      <w:pPr>
        <w:rPr>
          <w:rFonts w:ascii="Times New Roman" w:eastAsia="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Pr>
          <w:rFonts w:ascii="Times New Roman" w:hAnsi="Times New Roman" w:cs="Times New Roman"/>
          <w:sz w:val="20"/>
          <w:szCs w:val="20"/>
          <w:lang w:val="en-US"/>
        </w:rPr>
        <w:t xml:space="preserve"> </w:t>
      </w:r>
      <w:r w:rsidRPr="00C763C5">
        <w:rPr>
          <w:rFonts w:ascii="Times New Roman" w:hAnsi="Times New Roman" w:cs="Times New Roman"/>
          <w:sz w:val="20"/>
          <w:szCs w:val="20"/>
          <w:lang w:val="en-US"/>
        </w:rPr>
        <w:t>S</w:t>
      </w:r>
      <w:r>
        <w:rPr>
          <w:rFonts w:ascii="Times New Roman" w:hAnsi="Times New Roman" w:cs="Times New Roman"/>
          <w:sz w:val="20"/>
          <w:szCs w:val="20"/>
          <w:lang w:val="en-US"/>
        </w:rPr>
        <w:t xml:space="preserve">uch as: </w:t>
      </w:r>
      <w:r w:rsidRPr="00C763C5">
        <w:rPr>
          <w:rFonts w:ascii="Times New Roman" w:hAnsi="Times New Roman" w:cs="Times New Roman"/>
          <w:sz w:val="20"/>
          <w:szCs w:val="20"/>
          <w:lang w:val="en-US"/>
        </w:rPr>
        <w:t>ensuring healthy lives (SDG 3) - especially through substantially reducing the number of deaths and illnesses from hazardous chemicals (SDG 3.9); ensuring the sustainable management of water (SDG 6) - especially by minimizing the release of hazardous chemicals (SDG 6.3) and protecting water-related ecosystems (SDG 6.6); promoting decent work for all (SDG 8) - especially by providing a safe and secure working environment (SDG 8.8); promoting sustainable industrialization (SDG 9); ensuring sustainable consumption and production (SDG 12) - especially the environmentally sound management of chemicals (SDG 12.4); sustainable use of the oceans (SDG 14) - especially the prevention of marine pollution from land-based activities (SDG 14.1); and the sustainable use of terrestrial ecosystems (SDG 15)</w:t>
      </w:r>
      <w:r>
        <w:rPr>
          <w:rFonts w:ascii="Times New Roman" w:hAnsi="Times New Roman" w:cs="Times New Roman"/>
          <w:sz w:val="20"/>
          <w:szCs w:val="20"/>
          <w:lang w:val="en-US"/>
        </w:rPr>
        <w:t xml:space="preserve">. </w:t>
      </w:r>
      <w:r w:rsidRPr="00904796">
        <w:rPr>
          <w:rFonts w:ascii="Times New Roman" w:eastAsia="Times New Roman" w:hAnsi="Times New Roman" w:cs="Times New Roman"/>
          <w:color w:val="3F3F3F"/>
          <w:sz w:val="20"/>
          <w:szCs w:val="20"/>
          <w:lang w:val="en-US"/>
        </w:rPr>
        <w:t>UN General Assembly,</w:t>
      </w:r>
      <w:r w:rsidRPr="00904796">
        <w:rPr>
          <w:rStyle w:val="apple-converted-space"/>
          <w:rFonts w:ascii="Times New Roman" w:eastAsia="Times New Roman" w:hAnsi="Times New Roman" w:cs="Times New Roman"/>
          <w:color w:val="3F3F3F"/>
          <w:sz w:val="20"/>
          <w:szCs w:val="20"/>
          <w:lang w:val="en-US"/>
        </w:rPr>
        <w:t> </w:t>
      </w:r>
      <w:r w:rsidRPr="00D66305">
        <w:rPr>
          <w:rFonts w:ascii="Times New Roman" w:eastAsia="Times New Roman" w:hAnsi="Times New Roman" w:cs="Times New Roman"/>
          <w:i/>
          <w:iCs/>
          <w:color w:val="3F3F3F"/>
          <w:sz w:val="20"/>
          <w:szCs w:val="20"/>
          <w:lang w:val="en-US"/>
        </w:rPr>
        <w:t>Transforming our world : the 2030 Agenda for Sustainable Development</w:t>
      </w:r>
      <w:r w:rsidRPr="001C18A5">
        <w:rPr>
          <w:rFonts w:ascii="Times New Roman" w:eastAsia="Times New Roman" w:hAnsi="Times New Roman" w:cs="Times New Roman"/>
          <w:color w:val="3F3F3F"/>
          <w:sz w:val="20"/>
          <w:szCs w:val="20"/>
          <w:lang w:val="en-US"/>
        </w:rPr>
        <w:t>, 21 October 2015, A/RES/70/1</w:t>
      </w:r>
      <w:r w:rsidRPr="002C5959">
        <w:rPr>
          <w:rFonts w:ascii="Times New Roman" w:eastAsia="Times New Roman" w:hAnsi="Times New Roman" w:cs="Times New Roman"/>
          <w:color w:val="3F3F3F"/>
          <w:sz w:val="20"/>
          <w:szCs w:val="20"/>
          <w:lang w:val="en-US"/>
        </w:rPr>
        <w:t>.</w:t>
      </w:r>
    </w:p>
  </w:footnote>
  <w:footnote w:id="3">
    <w:p w14:paraId="16111C43" w14:textId="3F3035F4" w:rsidR="00BA7534" w:rsidRPr="00D66305" w:rsidRDefault="00BA7534" w:rsidP="00D66305">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sidRPr="00904796">
        <w:rPr>
          <w:rFonts w:ascii="Times New Roman" w:hAnsi="Times New Roman" w:cs="Times New Roman"/>
          <w:sz w:val="20"/>
          <w:szCs w:val="20"/>
          <w:lang w:val="en-US"/>
        </w:rPr>
        <w:t>See, e.g.,</w:t>
      </w:r>
      <w:r>
        <w:rPr>
          <w:rFonts w:ascii="Times New Roman" w:hAnsi="Times New Roman" w:cs="Times New Roman"/>
          <w:sz w:val="20"/>
          <w:szCs w:val="20"/>
          <w:lang w:val="en-US"/>
        </w:rPr>
        <w:t xml:space="preserve"> </w:t>
      </w:r>
      <w:r w:rsidRPr="00904796">
        <w:rPr>
          <w:rFonts w:ascii="Times New Roman" w:hAnsi="Times New Roman" w:cs="Times New Roman"/>
          <w:sz w:val="20"/>
          <w:szCs w:val="20"/>
          <w:lang w:val="en-US"/>
        </w:rPr>
        <w:t xml:space="preserve">FairTrade </w:t>
      </w:r>
      <w:r w:rsidRPr="00D66305">
        <w:rPr>
          <w:rFonts w:ascii="Times New Roman" w:hAnsi="Times New Roman" w:cs="Times New Roman"/>
          <w:sz w:val="20"/>
          <w:szCs w:val="20"/>
          <w:lang w:val="en-US"/>
        </w:rPr>
        <w:t xml:space="preserve">International Hazardous Materials List, </w:t>
      </w:r>
      <w:hyperlink r:id="rId1" w:history="1">
        <w:r w:rsidRPr="00D66305">
          <w:rPr>
            <w:rStyle w:val="Lienhypertexte"/>
            <w:rFonts w:ascii="Times New Roman" w:hAnsi="Times New Roman" w:cs="Times New Roman"/>
            <w:sz w:val="20"/>
            <w:szCs w:val="20"/>
            <w:lang w:val="en-US"/>
          </w:rPr>
          <w:t>https://www.fairtrade.net/fileadmin/user_upload/content/2009/standards/documents/Hazardous_Materials_List_EN.pdf</w:t>
        </w:r>
      </w:hyperlink>
      <w:r w:rsidRPr="00904796">
        <w:rPr>
          <w:rFonts w:ascii="Times New Roman" w:hAnsi="Times New Roman" w:cs="Times New Roman"/>
          <w:sz w:val="20"/>
          <w:szCs w:val="20"/>
          <w:lang w:val="en-US"/>
        </w:rPr>
        <w:t xml:space="preserve"> </w:t>
      </w:r>
      <w:r w:rsidRPr="00D66305">
        <w:rPr>
          <w:rFonts w:ascii="Times New Roman" w:hAnsi="Times New Roman" w:cs="Times New Roman"/>
          <w:sz w:val="20"/>
          <w:szCs w:val="20"/>
          <w:lang w:val="en-US"/>
        </w:rPr>
        <w:t>(Accessed on 6 Nov. 2017); UTZ Position Paper: Pest and Disease Management</w:t>
      </w:r>
      <w:r w:rsidRPr="001C18A5">
        <w:rPr>
          <w:rFonts w:ascii="Times New Roman" w:hAnsi="Times New Roman" w:cs="Times New Roman"/>
          <w:sz w:val="20"/>
          <w:szCs w:val="20"/>
          <w:lang w:val="en-US"/>
        </w:rPr>
        <w:t xml:space="preserve"> and Pest</w:t>
      </w:r>
      <w:r w:rsidRPr="002C5959">
        <w:rPr>
          <w:rFonts w:ascii="Times New Roman" w:hAnsi="Times New Roman" w:cs="Times New Roman"/>
          <w:sz w:val="20"/>
          <w:szCs w:val="20"/>
          <w:lang w:val="en-US"/>
        </w:rPr>
        <w:t xml:space="preserve">icide Handling, </w:t>
      </w:r>
      <w:hyperlink r:id="rId2" w:history="1">
        <w:r w:rsidRPr="00D66305">
          <w:rPr>
            <w:rStyle w:val="Lienhypertexte"/>
            <w:rFonts w:ascii="Times New Roman" w:hAnsi="Times New Roman" w:cs="Times New Roman"/>
            <w:sz w:val="20"/>
            <w:szCs w:val="20"/>
            <w:lang w:val="en-US"/>
          </w:rPr>
          <w:t>https://www.utz.org/wp-content/uploads/2016/10/Pesticides-Position-Paper.pdf</w:t>
        </w:r>
      </w:hyperlink>
      <w:r w:rsidRPr="00904796">
        <w:rPr>
          <w:rFonts w:ascii="Times New Roman" w:hAnsi="Times New Roman" w:cs="Times New Roman"/>
          <w:sz w:val="20"/>
          <w:szCs w:val="20"/>
          <w:lang w:val="en-US"/>
        </w:rPr>
        <w:t xml:space="preserve"> (accessed 6 November 2017). </w:t>
      </w:r>
    </w:p>
    <w:p w14:paraId="2975FA9A" w14:textId="77777777" w:rsidR="00BA7534" w:rsidRPr="00634031" w:rsidRDefault="00BA7534" w:rsidP="00634031">
      <w:pPr>
        <w:pStyle w:val="Notedebasdepage"/>
        <w:rPr>
          <w:rFonts w:ascii="Times New Roman" w:hAnsi="Times New Roman" w:cs="Times New Roman"/>
          <w:sz w:val="20"/>
          <w:szCs w:val="20"/>
          <w:lang w:val="en-US"/>
        </w:rPr>
      </w:pPr>
    </w:p>
    <w:p w14:paraId="719B1EA0" w14:textId="11DE7B40" w:rsidR="00BA7534" w:rsidRPr="00634031" w:rsidRDefault="00BA7534" w:rsidP="00634031">
      <w:pPr>
        <w:pStyle w:val="Notedebasdepage"/>
        <w:rPr>
          <w:rFonts w:ascii="Times New Roman" w:hAnsi="Times New Roman" w:cs="Times New Roman"/>
          <w:sz w:val="20"/>
          <w:szCs w:val="20"/>
          <w:lang w:val="en-US"/>
        </w:rPr>
      </w:pPr>
    </w:p>
  </w:footnote>
  <w:footnote w:id="4">
    <w:p w14:paraId="66F2E0A0" w14:textId="77777777" w:rsidR="00BA7534" w:rsidRPr="00904796" w:rsidRDefault="00BA7534" w:rsidP="00634031">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i/>
          <w:sz w:val="20"/>
          <w:szCs w:val="20"/>
          <w:lang w:val="en-US"/>
        </w:rPr>
        <w:footnoteRef/>
      </w:r>
      <w:r w:rsidRPr="00904796">
        <w:rPr>
          <w:rFonts w:ascii="Times New Roman" w:hAnsi="Times New Roman" w:cs="Times New Roman"/>
          <w:i/>
          <w:sz w:val="20"/>
          <w:szCs w:val="20"/>
          <w:lang w:val="en-US"/>
        </w:rPr>
        <w:t xml:space="preserve"> </w:t>
      </w:r>
      <w:r w:rsidRPr="00904796">
        <w:rPr>
          <w:rFonts w:ascii="Times New Roman" w:hAnsi="Times New Roman" w:cs="Times New Roman"/>
          <w:sz w:val="20"/>
          <w:szCs w:val="20"/>
          <w:lang w:val="en-US"/>
        </w:rPr>
        <w:t>UNEP/FAO/RC/COP.8/INF/20</w:t>
      </w:r>
      <w:r w:rsidRPr="00904796">
        <w:rPr>
          <w:rFonts w:ascii="Times New Roman" w:hAnsi="Times New Roman" w:cs="Times New Roman"/>
          <w:i/>
          <w:sz w:val="20"/>
          <w:szCs w:val="20"/>
          <w:lang w:val="en-US"/>
        </w:rPr>
        <w:t>,</w:t>
      </w:r>
      <w:r w:rsidRPr="00904796">
        <w:rPr>
          <w:rFonts w:ascii="Times New Roman" w:hAnsi="Times New Roman" w:cs="Times New Roman"/>
          <w:sz w:val="20"/>
          <w:szCs w:val="20"/>
          <w:lang w:val="en-US"/>
        </w:rPr>
        <w:t xml:space="preserve"> p. 3.</w:t>
      </w:r>
    </w:p>
  </w:footnote>
  <w:footnote w:id="5">
    <w:p w14:paraId="0EA047C0" w14:textId="1F2B0617" w:rsidR="00BA7534" w:rsidRPr="00904796" w:rsidRDefault="00BA7534" w:rsidP="00904796">
      <w:pPr>
        <w:autoSpaceDE w:val="0"/>
        <w:autoSpaceDN w:val="0"/>
        <w:adjustRightInd w:val="0"/>
        <w:rPr>
          <w:rFonts w:ascii="Times New Roman" w:hAnsi="Times New Roman" w:cs="Times New Roman"/>
          <w:bCs/>
          <w:sz w:val="20"/>
          <w:szCs w:val="20"/>
          <w:lang w:val="en-US" w:eastAsia="en-AU"/>
        </w:rPr>
      </w:pPr>
      <w:r w:rsidRPr="00904796">
        <w:rPr>
          <w:rStyle w:val="Marquenotebasdepage"/>
          <w:rFonts w:ascii="Times New Roman" w:hAnsi="Times New Roman" w:cs="Times New Roman"/>
          <w:sz w:val="20"/>
          <w:szCs w:val="20"/>
          <w:lang w:val="en-US"/>
        </w:rPr>
        <w:footnoteRef/>
      </w:r>
      <w:r w:rsidRPr="00904796">
        <w:rPr>
          <w:rFonts w:ascii="Times New Roman" w:hAnsi="Times New Roman" w:cs="Times New Roman"/>
          <w:sz w:val="20"/>
          <w:szCs w:val="20"/>
          <w:lang w:val="en-US"/>
        </w:rPr>
        <w:t xml:space="preserve"> UNEP FAO, ‘</w:t>
      </w:r>
      <w:r w:rsidRPr="00904796">
        <w:rPr>
          <w:rFonts w:ascii="Times New Roman" w:hAnsi="Times New Roman" w:cs="Times New Roman"/>
          <w:bCs/>
          <w:sz w:val="20"/>
          <w:szCs w:val="20"/>
          <w:lang w:val="en-US" w:eastAsia="en-AU"/>
        </w:rPr>
        <w:t xml:space="preserve">Thought-starter paper – Intersessional work on the process of listing chemicals in Annex III to the Rotterdam Convention’, 7 March 2016. Retrieved from: </w:t>
      </w:r>
      <w:hyperlink r:id="rId3" w:history="1">
        <w:r w:rsidRPr="00904796">
          <w:rPr>
            <w:rStyle w:val="Lienhypertexte"/>
            <w:rFonts w:ascii="Times New Roman" w:hAnsi="Times New Roman" w:cs="Times New Roman"/>
            <w:bCs/>
            <w:sz w:val="20"/>
            <w:szCs w:val="20"/>
            <w:lang w:val="en-US" w:eastAsia="en-AU"/>
          </w:rPr>
          <w:t>http://www.pic.int/Implementation/ProcessforListingChemicals/IntersessionalWorkingGroup/tabid/5253/language/en-US/Default.aspx</w:t>
        </w:r>
      </w:hyperlink>
      <w:r w:rsidRPr="00904796">
        <w:rPr>
          <w:rFonts w:ascii="Times New Roman" w:hAnsi="Times New Roman" w:cs="Times New Roman"/>
          <w:bCs/>
          <w:sz w:val="20"/>
          <w:szCs w:val="20"/>
          <w:lang w:val="en-US" w:eastAsia="en-AU"/>
        </w:rPr>
        <w:t>&gt;. Accessed at 18 July 2017. These options were</w:t>
      </w:r>
      <w:r w:rsidRPr="00D66305">
        <w:rPr>
          <w:rFonts w:ascii="Times New Roman" w:hAnsi="Times New Roman" w:cs="Times New Roman"/>
          <w:bCs/>
          <w:sz w:val="20"/>
          <w:szCs w:val="20"/>
          <w:lang w:val="en-US" w:eastAsia="en-AU"/>
        </w:rPr>
        <w:t xml:space="preserve"> first mentioned in an earli</w:t>
      </w:r>
      <w:r w:rsidRPr="001C18A5">
        <w:rPr>
          <w:rFonts w:ascii="Times New Roman" w:hAnsi="Times New Roman" w:cs="Times New Roman"/>
          <w:bCs/>
          <w:sz w:val="20"/>
          <w:szCs w:val="20"/>
          <w:lang w:val="en-US" w:eastAsia="en-AU"/>
        </w:rPr>
        <w:t xml:space="preserve">er thought starter paper prepared by the Secretariat are COP 3, UNEP/FAO/RC/COP.4/13, Retrieved from: </w:t>
      </w:r>
      <w:hyperlink r:id="rId4" w:history="1">
        <w:r w:rsidRPr="00634031">
          <w:rPr>
            <w:rStyle w:val="Lienhypertexte"/>
            <w:rFonts w:ascii="Times New Roman" w:hAnsi="Times New Roman" w:cs="Times New Roman"/>
            <w:bCs/>
            <w:sz w:val="20"/>
            <w:szCs w:val="20"/>
            <w:lang w:val="en-US" w:eastAsia="en-AU"/>
          </w:rPr>
          <w:t>http://www.pic.int/Implementation/ProcessforListingChemicals/IntersessionalWorkingGroup/tabid/5253/language/en-US/Default.aspx</w:t>
        </w:r>
      </w:hyperlink>
      <w:r w:rsidRPr="00904796">
        <w:rPr>
          <w:rFonts w:ascii="Times New Roman" w:hAnsi="Times New Roman" w:cs="Times New Roman"/>
          <w:bCs/>
          <w:sz w:val="20"/>
          <w:szCs w:val="20"/>
          <w:lang w:val="en-US" w:eastAsia="en-AU"/>
        </w:rPr>
        <w:t xml:space="preserve">&gt;. Accessed at 18 July 2017. </w:t>
      </w:r>
    </w:p>
  </w:footnote>
  <w:footnote w:id="6">
    <w:p w14:paraId="35ED3A43" w14:textId="77777777" w:rsidR="00BA7534" w:rsidRPr="00904796" w:rsidRDefault="00BA7534" w:rsidP="00904796">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sidRPr="00904796">
        <w:rPr>
          <w:rFonts w:ascii="Times New Roman" w:hAnsi="Times New Roman" w:cs="Times New Roman"/>
          <w:sz w:val="20"/>
          <w:szCs w:val="20"/>
          <w:lang w:val="en-US"/>
        </w:rPr>
        <w:t xml:space="preserve"> Thought Starter Document’ p. 13.</w:t>
      </w:r>
    </w:p>
  </w:footnote>
  <w:footnote w:id="7">
    <w:p w14:paraId="68E0E7F1" w14:textId="77777777" w:rsidR="00BA7534" w:rsidRPr="00D66305" w:rsidRDefault="00BA7534" w:rsidP="00904796">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sidRPr="00904796">
        <w:rPr>
          <w:rFonts w:ascii="Times New Roman" w:hAnsi="Times New Roman" w:cs="Times New Roman"/>
          <w:sz w:val="20"/>
          <w:szCs w:val="20"/>
          <w:lang w:val="en-US"/>
        </w:rPr>
        <w:t xml:space="preserve"> </w:t>
      </w:r>
      <w:r w:rsidRPr="00D66305">
        <w:rPr>
          <w:rFonts w:ascii="Times New Roman" w:hAnsi="Times New Roman" w:cs="Times New Roman"/>
          <w:color w:val="222222"/>
          <w:sz w:val="20"/>
          <w:szCs w:val="20"/>
          <w:lang w:val="en-US" w:eastAsia="nl-NL"/>
        </w:rPr>
        <w:t>Rotterdam Convention, Article 21.1, 21.2 and 21.3.</w:t>
      </w:r>
    </w:p>
  </w:footnote>
  <w:footnote w:id="8">
    <w:p w14:paraId="172EECF5" w14:textId="77777777" w:rsidR="00BA7534" w:rsidRPr="00C763C5" w:rsidRDefault="00BA7534" w:rsidP="00D66305">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sidRPr="00C763C5">
        <w:rPr>
          <w:rFonts w:ascii="Times New Roman" w:hAnsi="Times New Roman" w:cs="Times New Roman"/>
          <w:sz w:val="20"/>
          <w:szCs w:val="20"/>
          <w:lang w:val="en-US"/>
        </w:rPr>
        <w:t xml:space="preserve"> </w:t>
      </w:r>
      <w:r w:rsidRPr="00904796">
        <w:rPr>
          <w:rFonts w:ascii="Times New Roman" w:hAnsi="Times New Roman" w:cs="Times New Roman"/>
          <w:color w:val="222222"/>
          <w:sz w:val="20"/>
          <w:szCs w:val="20"/>
          <w:lang w:val="en-US" w:eastAsia="nl-NL"/>
        </w:rPr>
        <w:t>Rotterdam Convention, Article 21.b.</w:t>
      </w:r>
    </w:p>
  </w:footnote>
  <w:footnote w:id="9">
    <w:p w14:paraId="44F92504" w14:textId="522C49F5" w:rsidR="00BA7534" w:rsidRPr="00D66305" w:rsidRDefault="00BA7534" w:rsidP="00D66305">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sidRPr="00904796">
        <w:rPr>
          <w:rFonts w:ascii="Times New Roman" w:hAnsi="Times New Roman" w:cs="Times New Roman"/>
          <w:sz w:val="20"/>
          <w:szCs w:val="20"/>
          <w:lang w:val="en-US"/>
        </w:rPr>
        <w:t xml:space="preserve"> </w:t>
      </w:r>
      <w:r w:rsidRPr="00D66305">
        <w:rPr>
          <w:rFonts w:ascii="Times New Roman" w:hAnsi="Times New Roman" w:cs="Times New Roman"/>
          <w:color w:val="222222"/>
          <w:sz w:val="20"/>
          <w:szCs w:val="20"/>
          <w:lang w:val="en-US" w:eastAsia="nl-NL"/>
        </w:rPr>
        <w:t xml:space="preserve">UNEP/FAO/RC/COP.4/13, para. 10(a). </w:t>
      </w:r>
    </w:p>
  </w:footnote>
  <w:footnote w:id="10">
    <w:p w14:paraId="402C73F9" w14:textId="77777777" w:rsidR="00BA7534" w:rsidRPr="00C763C5" w:rsidRDefault="00BA7534" w:rsidP="00634031">
      <w:pPr>
        <w:pStyle w:val="Notedebasdepage"/>
        <w:rPr>
          <w:rFonts w:ascii="Times New Roman" w:hAnsi="Times New Roman" w:cs="Times New Roman"/>
          <w:sz w:val="20"/>
          <w:szCs w:val="20"/>
          <w:lang w:val="en-US"/>
        </w:rPr>
      </w:pPr>
      <w:r w:rsidRPr="00C763C5">
        <w:rPr>
          <w:rStyle w:val="Marquenotebasdepage"/>
          <w:rFonts w:ascii="Times New Roman" w:hAnsi="Times New Roman" w:cs="Times New Roman"/>
          <w:sz w:val="20"/>
          <w:szCs w:val="20"/>
          <w:lang w:val="en-US"/>
        </w:rPr>
        <w:footnoteRef/>
      </w:r>
      <w:r w:rsidRPr="00C763C5">
        <w:rPr>
          <w:rFonts w:ascii="Times New Roman" w:hAnsi="Times New Roman" w:cs="Times New Roman"/>
          <w:sz w:val="20"/>
          <w:szCs w:val="20"/>
          <w:lang w:val="en-US"/>
        </w:rPr>
        <w:t xml:space="preserve"> Rotterdam Convention, Article 22.3.b.</w:t>
      </w:r>
    </w:p>
  </w:footnote>
  <w:footnote w:id="11">
    <w:p w14:paraId="0469F44C" w14:textId="77777777" w:rsidR="00BA7534" w:rsidRPr="00904796" w:rsidRDefault="00BA7534" w:rsidP="00634031">
      <w:pPr>
        <w:pStyle w:val="Notedebasdepage"/>
        <w:rPr>
          <w:rFonts w:ascii="Times New Roman" w:hAnsi="Times New Roman" w:cs="Times New Roman"/>
          <w:sz w:val="20"/>
          <w:szCs w:val="20"/>
          <w:lang w:val="en-US"/>
        </w:rPr>
      </w:pPr>
      <w:r w:rsidRPr="00904796">
        <w:rPr>
          <w:rStyle w:val="Marquenotebasdepage"/>
          <w:rFonts w:ascii="Times New Roman" w:hAnsi="Times New Roman" w:cs="Times New Roman"/>
          <w:sz w:val="20"/>
          <w:szCs w:val="20"/>
          <w:lang w:val="en-US"/>
        </w:rPr>
        <w:footnoteRef/>
      </w:r>
      <w:r w:rsidRPr="00904796">
        <w:rPr>
          <w:rFonts w:ascii="Times New Roman" w:hAnsi="Times New Roman" w:cs="Times New Roman"/>
          <w:sz w:val="20"/>
          <w:szCs w:val="20"/>
          <w:lang w:val="en-US"/>
        </w:rPr>
        <w:t xml:space="preserve"> Rotterdam Convention (amended version), Articles 22.4, 22.3.b and 22.3.c., UNEP/FAO/RC/COP.8/16/Add.1.</w:t>
      </w:r>
    </w:p>
  </w:footnote>
  <w:footnote w:id="12">
    <w:p w14:paraId="6FCDBD1B" w14:textId="77777777" w:rsidR="00BA7534" w:rsidRPr="00197E5F" w:rsidRDefault="00BA7534" w:rsidP="00634031">
      <w:pPr>
        <w:pStyle w:val="Notedebasdepage"/>
        <w:rPr>
          <w:rFonts w:ascii="Times New Roman" w:hAnsi="Times New Roman" w:cs="Times New Roman"/>
          <w:sz w:val="20"/>
          <w:szCs w:val="20"/>
          <w:lang w:val="en-US"/>
        </w:rPr>
      </w:pPr>
      <w:r w:rsidRPr="00197E5F">
        <w:rPr>
          <w:rStyle w:val="Marquenotebasdepage"/>
          <w:rFonts w:ascii="Times New Roman" w:hAnsi="Times New Roman" w:cs="Times New Roman"/>
          <w:sz w:val="20"/>
          <w:szCs w:val="20"/>
          <w:lang w:val="en-US"/>
        </w:rPr>
        <w:footnoteRef/>
      </w:r>
      <w:r w:rsidRPr="00197E5F">
        <w:rPr>
          <w:rFonts w:ascii="Times New Roman" w:hAnsi="Times New Roman" w:cs="Times New Roman"/>
          <w:sz w:val="20"/>
          <w:szCs w:val="20"/>
          <w:lang w:val="en-US"/>
        </w:rPr>
        <w:t xml:space="preserve"> </w:t>
      </w:r>
      <w:r w:rsidRPr="00197E5F">
        <w:rPr>
          <w:rFonts w:ascii="Times New Roman" w:hAnsi="Times New Roman" w:cs="Times New Roman"/>
          <w:i/>
          <w:sz w:val="20"/>
          <w:szCs w:val="20"/>
          <w:lang w:val="en-US"/>
        </w:rPr>
        <w:t xml:space="preserve">Id. </w:t>
      </w:r>
      <w:r w:rsidRPr="00197E5F">
        <w:rPr>
          <w:rFonts w:ascii="Times New Roman" w:hAnsi="Times New Roman" w:cs="Times New Roman"/>
          <w:sz w:val="20"/>
          <w:szCs w:val="20"/>
          <w:lang w:val="en-US"/>
        </w:rPr>
        <w:t>para 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81305" w14:textId="0FACCC29" w:rsidR="00BA7534" w:rsidRPr="00C60BD4" w:rsidRDefault="00BA7534" w:rsidP="00C60BD4">
    <w:pPr>
      <w:pStyle w:val="En-tte"/>
      <w:jc w:val="center"/>
      <w:rPr>
        <w:b/>
        <w:lang w:val="en-US"/>
      </w:rPr>
    </w:pPr>
    <w:bookmarkStart w:id="0" w:name="_GoBack"/>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B9F"/>
    <w:multiLevelType w:val="hybridMultilevel"/>
    <w:tmpl w:val="A71EDC3E"/>
    <w:lvl w:ilvl="0" w:tplc="AAD43A36">
      <w:start w:val="1"/>
      <w:numFmt w:val="lowerRoman"/>
      <w:lvlText w:val="%1."/>
      <w:lvlJc w:val="left"/>
      <w:pPr>
        <w:ind w:left="1440" w:hanging="720"/>
      </w:pPr>
      <w:rPr>
        <w:rFonts w:ascii="Times" w:hAnsi="Time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715FD"/>
    <w:multiLevelType w:val="hybridMultilevel"/>
    <w:tmpl w:val="BA20F702"/>
    <w:lvl w:ilvl="0" w:tplc="58E2369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BD40425"/>
    <w:multiLevelType w:val="singleLevel"/>
    <w:tmpl w:val="0809001B"/>
    <w:lvl w:ilvl="0">
      <w:start w:val="1"/>
      <w:numFmt w:val="lowerRoman"/>
      <w:lvlText w:val="%1."/>
      <w:lvlJc w:val="right"/>
      <w:pPr>
        <w:ind w:left="360" w:hanging="360"/>
      </w:pPr>
      <w:rPr>
        <w:rFonts w:hint="default"/>
        <w:sz w:val="22"/>
      </w:rPr>
    </w:lvl>
  </w:abstractNum>
  <w:abstractNum w:abstractNumId="3">
    <w:nsid w:val="14E953E5"/>
    <w:multiLevelType w:val="hybridMultilevel"/>
    <w:tmpl w:val="558AEC6E"/>
    <w:lvl w:ilvl="0" w:tplc="08BC7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E2329"/>
    <w:multiLevelType w:val="multilevel"/>
    <w:tmpl w:val="1C4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057FA"/>
    <w:multiLevelType w:val="hybridMultilevel"/>
    <w:tmpl w:val="9EE41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C08D9"/>
    <w:multiLevelType w:val="multilevel"/>
    <w:tmpl w:val="5F78E8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44F1C0E"/>
    <w:multiLevelType w:val="hybridMultilevel"/>
    <w:tmpl w:val="BA20F702"/>
    <w:lvl w:ilvl="0" w:tplc="58E2369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5C05D71"/>
    <w:multiLevelType w:val="hybridMultilevel"/>
    <w:tmpl w:val="558AEC6E"/>
    <w:lvl w:ilvl="0" w:tplc="08BC7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F5BD9"/>
    <w:multiLevelType w:val="hybridMultilevel"/>
    <w:tmpl w:val="BA20F702"/>
    <w:lvl w:ilvl="0" w:tplc="58E2369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416042E3"/>
    <w:multiLevelType w:val="hybridMultilevel"/>
    <w:tmpl w:val="A0DCB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B2F56"/>
    <w:multiLevelType w:val="multilevel"/>
    <w:tmpl w:val="83B41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B35FEF"/>
    <w:multiLevelType w:val="hybridMultilevel"/>
    <w:tmpl w:val="BA20F702"/>
    <w:lvl w:ilvl="0" w:tplc="58E2369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51E86C42"/>
    <w:multiLevelType w:val="hybridMultilevel"/>
    <w:tmpl w:val="BA20F702"/>
    <w:lvl w:ilvl="0" w:tplc="58E2369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59694C5C"/>
    <w:multiLevelType w:val="hybridMultilevel"/>
    <w:tmpl w:val="032AB6F0"/>
    <w:lvl w:ilvl="0" w:tplc="6F84A59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C0522"/>
    <w:multiLevelType w:val="multilevel"/>
    <w:tmpl w:val="399E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405CC"/>
    <w:multiLevelType w:val="hybridMultilevel"/>
    <w:tmpl w:val="BA20F702"/>
    <w:lvl w:ilvl="0" w:tplc="58E2369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67336BBC"/>
    <w:multiLevelType w:val="hybridMultilevel"/>
    <w:tmpl w:val="BA20F702"/>
    <w:lvl w:ilvl="0" w:tplc="58E23698">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777D5111"/>
    <w:multiLevelType w:val="multilevel"/>
    <w:tmpl w:val="781645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7C5A4E4F"/>
    <w:multiLevelType w:val="hybridMultilevel"/>
    <w:tmpl w:val="0D92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0"/>
  </w:num>
  <w:num w:numId="4">
    <w:abstractNumId w:val="2"/>
  </w:num>
  <w:num w:numId="5">
    <w:abstractNumId w:val="16"/>
  </w:num>
  <w:num w:numId="6">
    <w:abstractNumId w:val="1"/>
  </w:num>
  <w:num w:numId="7">
    <w:abstractNumId w:val="3"/>
  </w:num>
  <w:num w:numId="8">
    <w:abstractNumId w:val="11"/>
  </w:num>
  <w:num w:numId="9">
    <w:abstractNumId w:val="4"/>
  </w:num>
  <w:num w:numId="10">
    <w:abstractNumId w:val="15"/>
  </w:num>
  <w:num w:numId="11">
    <w:abstractNumId w:val="13"/>
  </w:num>
  <w:num w:numId="12">
    <w:abstractNumId w:val="8"/>
  </w:num>
  <w:num w:numId="13">
    <w:abstractNumId w:val="17"/>
  </w:num>
  <w:num w:numId="14">
    <w:abstractNumId w:val="14"/>
  </w:num>
  <w:num w:numId="15">
    <w:abstractNumId w:val="19"/>
  </w:num>
  <w:num w:numId="16">
    <w:abstractNumId w:val="5"/>
  </w:num>
  <w:num w:numId="17">
    <w:abstractNumId w:val="10"/>
  </w:num>
  <w:num w:numId="18">
    <w:abstractNumId w:val="12"/>
  </w:num>
  <w:num w:numId="19">
    <w:abstractNumId w:val="9"/>
  </w:num>
  <w:num w:numId="20">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Caterbow">
    <w15:presenceInfo w15:providerId="Windows Live" w15:userId="6a1342c2b5056b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2C"/>
    <w:rsid w:val="00005472"/>
    <w:rsid w:val="00006FE6"/>
    <w:rsid w:val="000127D7"/>
    <w:rsid w:val="00032822"/>
    <w:rsid w:val="000342A4"/>
    <w:rsid w:val="00034FDB"/>
    <w:rsid w:val="00036761"/>
    <w:rsid w:val="00042F9B"/>
    <w:rsid w:val="00043A8C"/>
    <w:rsid w:val="00053101"/>
    <w:rsid w:val="00067174"/>
    <w:rsid w:val="00071EE6"/>
    <w:rsid w:val="00073335"/>
    <w:rsid w:val="0007641D"/>
    <w:rsid w:val="0008332C"/>
    <w:rsid w:val="000877D6"/>
    <w:rsid w:val="0009006E"/>
    <w:rsid w:val="0009203E"/>
    <w:rsid w:val="000979B6"/>
    <w:rsid w:val="000979E8"/>
    <w:rsid w:val="00097DFF"/>
    <w:rsid w:val="000A54C6"/>
    <w:rsid w:val="000B67C9"/>
    <w:rsid w:val="000C303A"/>
    <w:rsid w:val="000D13AC"/>
    <w:rsid w:val="000D6DCB"/>
    <w:rsid w:val="000E28FD"/>
    <w:rsid w:val="000E2AD4"/>
    <w:rsid w:val="000E6C40"/>
    <w:rsid w:val="000F2A79"/>
    <w:rsid w:val="000F3BEC"/>
    <w:rsid w:val="000F4B65"/>
    <w:rsid w:val="000F7D02"/>
    <w:rsid w:val="00101BC3"/>
    <w:rsid w:val="0010209B"/>
    <w:rsid w:val="001119E2"/>
    <w:rsid w:val="001138BB"/>
    <w:rsid w:val="00123334"/>
    <w:rsid w:val="0012385A"/>
    <w:rsid w:val="001240C8"/>
    <w:rsid w:val="00126C90"/>
    <w:rsid w:val="00136DA9"/>
    <w:rsid w:val="001409C4"/>
    <w:rsid w:val="00146C27"/>
    <w:rsid w:val="001477C5"/>
    <w:rsid w:val="001531C2"/>
    <w:rsid w:val="00161236"/>
    <w:rsid w:val="0016410D"/>
    <w:rsid w:val="001658D0"/>
    <w:rsid w:val="00167289"/>
    <w:rsid w:val="00167E77"/>
    <w:rsid w:val="0017651C"/>
    <w:rsid w:val="0018052F"/>
    <w:rsid w:val="001845D1"/>
    <w:rsid w:val="00195847"/>
    <w:rsid w:val="00196874"/>
    <w:rsid w:val="00197E5F"/>
    <w:rsid w:val="001A791E"/>
    <w:rsid w:val="001B702F"/>
    <w:rsid w:val="001C1170"/>
    <w:rsid w:val="001C18A5"/>
    <w:rsid w:val="001C57AE"/>
    <w:rsid w:val="001C5A0B"/>
    <w:rsid w:val="001D2B5D"/>
    <w:rsid w:val="001E4C49"/>
    <w:rsid w:val="001F259D"/>
    <w:rsid w:val="001F290F"/>
    <w:rsid w:val="001F6903"/>
    <w:rsid w:val="002005F2"/>
    <w:rsid w:val="0020419B"/>
    <w:rsid w:val="002072AB"/>
    <w:rsid w:val="00212990"/>
    <w:rsid w:val="002166C8"/>
    <w:rsid w:val="00222C4C"/>
    <w:rsid w:val="00262B42"/>
    <w:rsid w:val="00267EB3"/>
    <w:rsid w:val="00270147"/>
    <w:rsid w:val="00271BE8"/>
    <w:rsid w:val="002729AC"/>
    <w:rsid w:val="0028559F"/>
    <w:rsid w:val="002871C9"/>
    <w:rsid w:val="00293760"/>
    <w:rsid w:val="00294FB1"/>
    <w:rsid w:val="002A4699"/>
    <w:rsid w:val="002A5068"/>
    <w:rsid w:val="002A5C18"/>
    <w:rsid w:val="002C5181"/>
    <w:rsid w:val="002C5959"/>
    <w:rsid w:val="002C7998"/>
    <w:rsid w:val="002D3EB2"/>
    <w:rsid w:val="002D7379"/>
    <w:rsid w:val="002E11F8"/>
    <w:rsid w:val="002F1DF5"/>
    <w:rsid w:val="002F3879"/>
    <w:rsid w:val="002F4088"/>
    <w:rsid w:val="002F72F8"/>
    <w:rsid w:val="002F7D85"/>
    <w:rsid w:val="003028ED"/>
    <w:rsid w:val="003124AB"/>
    <w:rsid w:val="00315D63"/>
    <w:rsid w:val="00317F48"/>
    <w:rsid w:val="003275A9"/>
    <w:rsid w:val="00330429"/>
    <w:rsid w:val="00340565"/>
    <w:rsid w:val="00354C6E"/>
    <w:rsid w:val="00356E01"/>
    <w:rsid w:val="00360924"/>
    <w:rsid w:val="0036589C"/>
    <w:rsid w:val="003659A4"/>
    <w:rsid w:val="00392E01"/>
    <w:rsid w:val="003945AA"/>
    <w:rsid w:val="003962D0"/>
    <w:rsid w:val="00397514"/>
    <w:rsid w:val="00397D46"/>
    <w:rsid w:val="00397F4F"/>
    <w:rsid w:val="003A01FA"/>
    <w:rsid w:val="003A5392"/>
    <w:rsid w:val="003B0E00"/>
    <w:rsid w:val="003B1F08"/>
    <w:rsid w:val="003C154B"/>
    <w:rsid w:val="003C2390"/>
    <w:rsid w:val="003C7062"/>
    <w:rsid w:val="003D1510"/>
    <w:rsid w:val="003D481D"/>
    <w:rsid w:val="003E1891"/>
    <w:rsid w:val="003E3EA9"/>
    <w:rsid w:val="003E6FCC"/>
    <w:rsid w:val="003F0D25"/>
    <w:rsid w:val="003F1B72"/>
    <w:rsid w:val="003F5A9E"/>
    <w:rsid w:val="004022C2"/>
    <w:rsid w:val="00407030"/>
    <w:rsid w:val="00412DE4"/>
    <w:rsid w:val="00440816"/>
    <w:rsid w:val="004453E7"/>
    <w:rsid w:val="004461BC"/>
    <w:rsid w:val="004467FC"/>
    <w:rsid w:val="004475FC"/>
    <w:rsid w:val="004536D7"/>
    <w:rsid w:val="00463EF8"/>
    <w:rsid w:val="00466D56"/>
    <w:rsid w:val="00472428"/>
    <w:rsid w:val="004734E3"/>
    <w:rsid w:val="004777A5"/>
    <w:rsid w:val="004836D5"/>
    <w:rsid w:val="004B2792"/>
    <w:rsid w:val="004C2A92"/>
    <w:rsid w:val="004D5C7F"/>
    <w:rsid w:val="004D76C2"/>
    <w:rsid w:val="004E032C"/>
    <w:rsid w:val="004E192C"/>
    <w:rsid w:val="004E2B3B"/>
    <w:rsid w:val="004E6E2E"/>
    <w:rsid w:val="004F1F32"/>
    <w:rsid w:val="004F32E1"/>
    <w:rsid w:val="004F7064"/>
    <w:rsid w:val="00512EE7"/>
    <w:rsid w:val="005155B9"/>
    <w:rsid w:val="00523811"/>
    <w:rsid w:val="005239A6"/>
    <w:rsid w:val="0053116A"/>
    <w:rsid w:val="00550289"/>
    <w:rsid w:val="005518B8"/>
    <w:rsid w:val="00553F22"/>
    <w:rsid w:val="005553AC"/>
    <w:rsid w:val="00555E61"/>
    <w:rsid w:val="00564D58"/>
    <w:rsid w:val="0056733C"/>
    <w:rsid w:val="00571B8F"/>
    <w:rsid w:val="00572D9C"/>
    <w:rsid w:val="005761D7"/>
    <w:rsid w:val="00577024"/>
    <w:rsid w:val="005825F4"/>
    <w:rsid w:val="00591106"/>
    <w:rsid w:val="00592589"/>
    <w:rsid w:val="00594AFB"/>
    <w:rsid w:val="00597C5A"/>
    <w:rsid w:val="005A04DA"/>
    <w:rsid w:val="005B2DE4"/>
    <w:rsid w:val="005B4C40"/>
    <w:rsid w:val="005C4471"/>
    <w:rsid w:val="005C5FB8"/>
    <w:rsid w:val="005F2B84"/>
    <w:rsid w:val="005F6A97"/>
    <w:rsid w:val="006016F5"/>
    <w:rsid w:val="00603F7A"/>
    <w:rsid w:val="00610E50"/>
    <w:rsid w:val="00613CF5"/>
    <w:rsid w:val="006152B8"/>
    <w:rsid w:val="00621515"/>
    <w:rsid w:val="00623C0D"/>
    <w:rsid w:val="00624FF5"/>
    <w:rsid w:val="006265E7"/>
    <w:rsid w:val="00627ED1"/>
    <w:rsid w:val="00634031"/>
    <w:rsid w:val="006402A0"/>
    <w:rsid w:val="006433EB"/>
    <w:rsid w:val="006532C6"/>
    <w:rsid w:val="006578CF"/>
    <w:rsid w:val="00662DE9"/>
    <w:rsid w:val="00663455"/>
    <w:rsid w:val="00665A8E"/>
    <w:rsid w:val="00666627"/>
    <w:rsid w:val="00666D83"/>
    <w:rsid w:val="00667DFB"/>
    <w:rsid w:val="006711BA"/>
    <w:rsid w:val="00676D97"/>
    <w:rsid w:val="0068072C"/>
    <w:rsid w:val="0068283B"/>
    <w:rsid w:val="00686C5E"/>
    <w:rsid w:val="00687799"/>
    <w:rsid w:val="006967EB"/>
    <w:rsid w:val="00697597"/>
    <w:rsid w:val="006B0CE7"/>
    <w:rsid w:val="006D2071"/>
    <w:rsid w:val="006E1586"/>
    <w:rsid w:val="006F43F4"/>
    <w:rsid w:val="006F6279"/>
    <w:rsid w:val="00712409"/>
    <w:rsid w:val="00714E58"/>
    <w:rsid w:val="007259ED"/>
    <w:rsid w:val="00725E57"/>
    <w:rsid w:val="007348B4"/>
    <w:rsid w:val="0074332F"/>
    <w:rsid w:val="0074453A"/>
    <w:rsid w:val="007447DB"/>
    <w:rsid w:val="007451B7"/>
    <w:rsid w:val="00746138"/>
    <w:rsid w:val="0075478F"/>
    <w:rsid w:val="00755EC8"/>
    <w:rsid w:val="00766ABE"/>
    <w:rsid w:val="007727C8"/>
    <w:rsid w:val="007742EA"/>
    <w:rsid w:val="00775014"/>
    <w:rsid w:val="0078621C"/>
    <w:rsid w:val="007913EE"/>
    <w:rsid w:val="007921CB"/>
    <w:rsid w:val="00794C75"/>
    <w:rsid w:val="00795363"/>
    <w:rsid w:val="007A1422"/>
    <w:rsid w:val="007A1F01"/>
    <w:rsid w:val="007A581E"/>
    <w:rsid w:val="007A5FE1"/>
    <w:rsid w:val="007B3C6A"/>
    <w:rsid w:val="007B4620"/>
    <w:rsid w:val="007D16C9"/>
    <w:rsid w:val="007D2552"/>
    <w:rsid w:val="007D6BE4"/>
    <w:rsid w:val="007E0A80"/>
    <w:rsid w:val="007E3512"/>
    <w:rsid w:val="007E4929"/>
    <w:rsid w:val="007E6775"/>
    <w:rsid w:val="007F5173"/>
    <w:rsid w:val="00802DE5"/>
    <w:rsid w:val="00803596"/>
    <w:rsid w:val="00813E42"/>
    <w:rsid w:val="00825D36"/>
    <w:rsid w:val="00826123"/>
    <w:rsid w:val="008263EF"/>
    <w:rsid w:val="00831E3F"/>
    <w:rsid w:val="00833EDF"/>
    <w:rsid w:val="00833EF5"/>
    <w:rsid w:val="00844A63"/>
    <w:rsid w:val="00856488"/>
    <w:rsid w:val="0089151F"/>
    <w:rsid w:val="00892D6F"/>
    <w:rsid w:val="00893204"/>
    <w:rsid w:val="008934B8"/>
    <w:rsid w:val="0089379F"/>
    <w:rsid w:val="00896332"/>
    <w:rsid w:val="008A044C"/>
    <w:rsid w:val="008A7146"/>
    <w:rsid w:val="008B77E0"/>
    <w:rsid w:val="008C1F26"/>
    <w:rsid w:val="008C2424"/>
    <w:rsid w:val="008C5677"/>
    <w:rsid w:val="008C7E47"/>
    <w:rsid w:val="008D53EE"/>
    <w:rsid w:val="008E382E"/>
    <w:rsid w:val="00900335"/>
    <w:rsid w:val="00904796"/>
    <w:rsid w:val="00905F4D"/>
    <w:rsid w:val="00911AFF"/>
    <w:rsid w:val="00912FD1"/>
    <w:rsid w:val="0091447E"/>
    <w:rsid w:val="009219B4"/>
    <w:rsid w:val="009231EB"/>
    <w:rsid w:val="0092675A"/>
    <w:rsid w:val="00930CA0"/>
    <w:rsid w:val="009372AD"/>
    <w:rsid w:val="00940B76"/>
    <w:rsid w:val="0094133C"/>
    <w:rsid w:val="0095070E"/>
    <w:rsid w:val="00961662"/>
    <w:rsid w:val="00980A10"/>
    <w:rsid w:val="0098357A"/>
    <w:rsid w:val="00986CF0"/>
    <w:rsid w:val="0098765A"/>
    <w:rsid w:val="0099053A"/>
    <w:rsid w:val="00990A1E"/>
    <w:rsid w:val="009A1248"/>
    <w:rsid w:val="009A6AF3"/>
    <w:rsid w:val="009B3B35"/>
    <w:rsid w:val="009B490C"/>
    <w:rsid w:val="009B668C"/>
    <w:rsid w:val="009C04CE"/>
    <w:rsid w:val="009C2D9F"/>
    <w:rsid w:val="009C57CF"/>
    <w:rsid w:val="009E06EE"/>
    <w:rsid w:val="009F0C79"/>
    <w:rsid w:val="009F55F0"/>
    <w:rsid w:val="009F6869"/>
    <w:rsid w:val="00A14C49"/>
    <w:rsid w:val="00A21245"/>
    <w:rsid w:val="00A25EF7"/>
    <w:rsid w:val="00A271A2"/>
    <w:rsid w:val="00A346FF"/>
    <w:rsid w:val="00A36831"/>
    <w:rsid w:val="00A43474"/>
    <w:rsid w:val="00A462FF"/>
    <w:rsid w:val="00A50447"/>
    <w:rsid w:val="00A55BB4"/>
    <w:rsid w:val="00A56EAC"/>
    <w:rsid w:val="00A60EA2"/>
    <w:rsid w:val="00A73937"/>
    <w:rsid w:val="00A760BD"/>
    <w:rsid w:val="00A7702E"/>
    <w:rsid w:val="00A849C7"/>
    <w:rsid w:val="00A84B52"/>
    <w:rsid w:val="00A915FC"/>
    <w:rsid w:val="00A91E85"/>
    <w:rsid w:val="00A969B4"/>
    <w:rsid w:val="00AA0F29"/>
    <w:rsid w:val="00AA693C"/>
    <w:rsid w:val="00AA7B99"/>
    <w:rsid w:val="00AC3B53"/>
    <w:rsid w:val="00AC5121"/>
    <w:rsid w:val="00AD027A"/>
    <w:rsid w:val="00AE5388"/>
    <w:rsid w:val="00AE69F5"/>
    <w:rsid w:val="00AE7DF6"/>
    <w:rsid w:val="00AF20BA"/>
    <w:rsid w:val="00AF3EF3"/>
    <w:rsid w:val="00B044E0"/>
    <w:rsid w:val="00B126A8"/>
    <w:rsid w:val="00B169E8"/>
    <w:rsid w:val="00B229C3"/>
    <w:rsid w:val="00B2770C"/>
    <w:rsid w:val="00B33F15"/>
    <w:rsid w:val="00B4582E"/>
    <w:rsid w:val="00B5326A"/>
    <w:rsid w:val="00B57E43"/>
    <w:rsid w:val="00B6278D"/>
    <w:rsid w:val="00B62FC7"/>
    <w:rsid w:val="00B65A1B"/>
    <w:rsid w:val="00B72D72"/>
    <w:rsid w:val="00B810FB"/>
    <w:rsid w:val="00B83A9C"/>
    <w:rsid w:val="00B9003A"/>
    <w:rsid w:val="00B9074E"/>
    <w:rsid w:val="00BA4EDE"/>
    <w:rsid w:val="00BA5504"/>
    <w:rsid w:val="00BA7534"/>
    <w:rsid w:val="00BB065A"/>
    <w:rsid w:val="00BB3FA2"/>
    <w:rsid w:val="00BB533A"/>
    <w:rsid w:val="00BC2CE7"/>
    <w:rsid w:val="00BC3F49"/>
    <w:rsid w:val="00BC5C1A"/>
    <w:rsid w:val="00BD2A0A"/>
    <w:rsid w:val="00BD34C2"/>
    <w:rsid w:val="00BE256F"/>
    <w:rsid w:val="00BE3131"/>
    <w:rsid w:val="00BF09C6"/>
    <w:rsid w:val="00BF2433"/>
    <w:rsid w:val="00C03F16"/>
    <w:rsid w:val="00C108A6"/>
    <w:rsid w:val="00C13E97"/>
    <w:rsid w:val="00C16251"/>
    <w:rsid w:val="00C17EE3"/>
    <w:rsid w:val="00C37706"/>
    <w:rsid w:val="00C41A17"/>
    <w:rsid w:val="00C5013D"/>
    <w:rsid w:val="00C54B96"/>
    <w:rsid w:val="00C56036"/>
    <w:rsid w:val="00C60BD4"/>
    <w:rsid w:val="00C60DFB"/>
    <w:rsid w:val="00C6534A"/>
    <w:rsid w:val="00C72E76"/>
    <w:rsid w:val="00C763C5"/>
    <w:rsid w:val="00C76A87"/>
    <w:rsid w:val="00C825C5"/>
    <w:rsid w:val="00C82909"/>
    <w:rsid w:val="00C86EF2"/>
    <w:rsid w:val="00C872B8"/>
    <w:rsid w:val="00C9373A"/>
    <w:rsid w:val="00C96505"/>
    <w:rsid w:val="00C96CF9"/>
    <w:rsid w:val="00CA152E"/>
    <w:rsid w:val="00CA5085"/>
    <w:rsid w:val="00CA5524"/>
    <w:rsid w:val="00CA6211"/>
    <w:rsid w:val="00CA63CF"/>
    <w:rsid w:val="00CB08D6"/>
    <w:rsid w:val="00CC625F"/>
    <w:rsid w:val="00CD33F1"/>
    <w:rsid w:val="00CD6967"/>
    <w:rsid w:val="00CF144D"/>
    <w:rsid w:val="00CF18B7"/>
    <w:rsid w:val="00CF3337"/>
    <w:rsid w:val="00D02AA3"/>
    <w:rsid w:val="00D16566"/>
    <w:rsid w:val="00D20AD5"/>
    <w:rsid w:val="00D21830"/>
    <w:rsid w:val="00D30886"/>
    <w:rsid w:val="00D33A77"/>
    <w:rsid w:val="00D37833"/>
    <w:rsid w:val="00D4193A"/>
    <w:rsid w:val="00D46E82"/>
    <w:rsid w:val="00D531F2"/>
    <w:rsid w:val="00D53832"/>
    <w:rsid w:val="00D57FB3"/>
    <w:rsid w:val="00D61499"/>
    <w:rsid w:val="00D62991"/>
    <w:rsid w:val="00D64E7D"/>
    <w:rsid w:val="00D65BF7"/>
    <w:rsid w:val="00D66305"/>
    <w:rsid w:val="00D6758A"/>
    <w:rsid w:val="00D76534"/>
    <w:rsid w:val="00D80703"/>
    <w:rsid w:val="00D84374"/>
    <w:rsid w:val="00D91103"/>
    <w:rsid w:val="00DB00EE"/>
    <w:rsid w:val="00DB46C0"/>
    <w:rsid w:val="00DC2F81"/>
    <w:rsid w:val="00DD1C83"/>
    <w:rsid w:val="00DD21AD"/>
    <w:rsid w:val="00DD32D7"/>
    <w:rsid w:val="00DE2DEA"/>
    <w:rsid w:val="00DE5FA6"/>
    <w:rsid w:val="00E0207F"/>
    <w:rsid w:val="00E04E8D"/>
    <w:rsid w:val="00E174A9"/>
    <w:rsid w:val="00E2568C"/>
    <w:rsid w:val="00E339E8"/>
    <w:rsid w:val="00E3763B"/>
    <w:rsid w:val="00E42F58"/>
    <w:rsid w:val="00E46B92"/>
    <w:rsid w:val="00E52922"/>
    <w:rsid w:val="00E5544B"/>
    <w:rsid w:val="00E56921"/>
    <w:rsid w:val="00E64CAF"/>
    <w:rsid w:val="00E672B1"/>
    <w:rsid w:val="00E76965"/>
    <w:rsid w:val="00E77A8D"/>
    <w:rsid w:val="00E84CC8"/>
    <w:rsid w:val="00E8692B"/>
    <w:rsid w:val="00E92DBF"/>
    <w:rsid w:val="00E94107"/>
    <w:rsid w:val="00EA1EB9"/>
    <w:rsid w:val="00EB0F1C"/>
    <w:rsid w:val="00EB4407"/>
    <w:rsid w:val="00EB56F9"/>
    <w:rsid w:val="00ED0D79"/>
    <w:rsid w:val="00ED644E"/>
    <w:rsid w:val="00ED7433"/>
    <w:rsid w:val="00EF3265"/>
    <w:rsid w:val="00F01435"/>
    <w:rsid w:val="00F0299E"/>
    <w:rsid w:val="00F03217"/>
    <w:rsid w:val="00F10EF7"/>
    <w:rsid w:val="00F13865"/>
    <w:rsid w:val="00F14E1D"/>
    <w:rsid w:val="00F20744"/>
    <w:rsid w:val="00F2497A"/>
    <w:rsid w:val="00F3187F"/>
    <w:rsid w:val="00F376C3"/>
    <w:rsid w:val="00F37B73"/>
    <w:rsid w:val="00F4534D"/>
    <w:rsid w:val="00F45CFF"/>
    <w:rsid w:val="00F56919"/>
    <w:rsid w:val="00F60888"/>
    <w:rsid w:val="00F651DA"/>
    <w:rsid w:val="00F66E25"/>
    <w:rsid w:val="00F71BD6"/>
    <w:rsid w:val="00F7308D"/>
    <w:rsid w:val="00F84B78"/>
    <w:rsid w:val="00F9081D"/>
    <w:rsid w:val="00F94FF1"/>
    <w:rsid w:val="00FA19D6"/>
    <w:rsid w:val="00FA1EC5"/>
    <w:rsid w:val="00FA5D46"/>
    <w:rsid w:val="00FA6742"/>
    <w:rsid w:val="00FB31FE"/>
    <w:rsid w:val="00FB3DFA"/>
    <w:rsid w:val="00FB4250"/>
    <w:rsid w:val="00FB49CC"/>
    <w:rsid w:val="00FB6548"/>
    <w:rsid w:val="00FC0097"/>
    <w:rsid w:val="00FC22C5"/>
    <w:rsid w:val="00FC6472"/>
    <w:rsid w:val="00FD21D1"/>
    <w:rsid w:val="00FD589E"/>
    <w:rsid w:val="00FD5956"/>
    <w:rsid w:val="00FD5E10"/>
    <w:rsid w:val="00FE0CCF"/>
    <w:rsid w:val="00FE3123"/>
    <w:rsid w:val="00FE769D"/>
    <w:rsid w:val="00FF566D"/>
    <w:rsid w:val="00FF6CCA"/>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8C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qFormat/>
    <w:rsid w:val="00FC64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08332C"/>
    <w:rPr>
      <w:rFonts w:ascii="Lucida Grande" w:hAnsi="Lucida Grande" w:cs="Times New Roman"/>
      <w:sz w:val="18"/>
      <w:szCs w:val="18"/>
      <w:lang w:eastAsia="fr-FR"/>
    </w:rPr>
  </w:style>
  <w:style w:type="character" w:customStyle="1" w:styleId="BallontekstTeken">
    <w:name w:val="Ballontekst Teken"/>
    <w:basedOn w:val="Policepardfaut"/>
    <w:uiPriority w:val="99"/>
    <w:semiHidden/>
    <w:rsid w:val="0090763F"/>
    <w:rPr>
      <w:rFonts w:ascii="Lucida Grande" w:hAnsi="Lucida Grande"/>
      <w:sz w:val="18"/>
      <w:szCs w:val="18"/>
    </w:rPr>
  </w:style>
  <w:style w:type="character" w:customStyle="1" w:styleId="BallontekstTeken0">
    <w:name w:val="Ballontekst Teken"/>
    <w:basedOn w:val="Policepardfaut"/>
    <w:uiPriority w:val="99"/>
    <w:semiHidden/>
    <w:rsid w:val="000A33BE"/>
    <w:rPr>
      <w:rFonts w:ascii="Lucida Grande" w:hAnsi="Lucida Grande"/>
      <w:sz w:val="18"/>
      <w:szCs w:val="18"/>
    </w:rPr>
  </w:style>
  <w:style w:type="character" w:customStyle="1" w:styleId="BallontekstTeken1">
    <w:name w:val="Ballontekst Teken"/>
    <w:basedOn w:val="Policepardfaut"/>
    <w:uiPriority w:val="99"/>
    <w:semiHidden/>
    <w:rsid w:val="000A33BE"/>
    <w:rPr>
      <w:rFonts w:ascii="Lucida Grande" w:hAnsi="Lucida Grande"/>
      <w:sz w:val="18"/>
      <w:szCs w:val="18"/>
    </w:rPr>
  </w:style>
  <w:style w:type="paragraph" w:styleId="Notedebasdepage">
    <w:name w:val="footnote text"/>
    <w:basedOn w:val="Normal"/>
    <w:link w:val="NotedebasdepageCar"/>
    <w:rsid w:val="0008332C"/>
  </w:style>
  <w:style w:type="character" w:customStyle="1" w:styleId="NotedebasdepageCar">
    <w:name w:val="Note de bas de page Car"/>
    <w:basedOn w:val="Policepardfaut"/>
    <w:link w:val="Notedebasdepage"/>
    <w:rsid w:val="0008332C"/>
  </w:style>
  <w:style w:type="character" w:styleId="Marquenotebasdepage">
    <w:name w:val="footnote reference"/>
    <w:basedOn w:val="Policepardfaut"/>
    <w:rsid w:val="0008332C"/>
    <w:rPr>
      <w:vertAlign w:val="superscript"/>
    </w:rPr>
  </w:style>
  <w:style w:type="character" w:customStyle="1" w:styleId="TextedebullesCar">
    <w:name w:val="Texte de bulles Car"/>
    <w:basedOn w:val="Policepardfaut"/>
    <w:link w:val="Textedebulles"/>
    <w:rsid w:val="0008332C"/>
    <w:rPr>
      <w:rFonts w:ascii="Lucida Grande" w:hAnsi="Lucida Grande" w:cs="Times New Roman"/>
      <w:sz w:val="18"/>
      <w:szCs w:val="18"/>
      <w:lang w:eastAsia="fr-FR"/>
    </w:rPr>
  </w:style>
  <w:style w:type="character" w:customStyle="1" w:styleId="BallontekstTeken10">
    <w:name w:val="Ballontekst Teken1"/>
    <w:basedOn w:val="Policepardfaut"/>
    <w:rsid w:val="0008332C"/>
    <w:rPr>
      <w:rFonts w:ascii="Lucida Grande" w:hAnsi="Lucida Grande"/>
      <w:sz w:val="18"/>
      <w:szCs w:val="18"/>
    </w:rPr>
  </w:style>
  <w:style w:type="paragraph" w:styleId="Pieddepage">
    <w:name w:val="footer"/>
    <w:basedOn w:val="Normal"/>
    <w:link w:val="PieddepageCar"/>
    <w:rsid w:val="0008332C"/>
    <w:pPr>
      <w:tabs>
        <w:tab w:val="center" w:pos="4536"/>
        <w:tab w:val="right" w:pos="9072"/>
      </w:tabs>
    </w:pPr>
  </w:style>
  <w:style w:type="character" w:customStyle="1" w:styleId="PieddepageCar">
    <w:name w:val="Pied de page Car"/>
    <w:basedOn w:val="Policepardfaut"/>
    <w:link w:val="Pieddepage"/>
    <w:rsid w:val="0008332C"/>
  </w:style>
  <w:style w:type="character" w:styleId="Numrodepage">
    <w:name w:val="page number"/>
    <w:basedOn w:val="Policepardfaut"/>
    <w:rsid w:val="0008332C"/>
  </w:style>
  <w:style w:type="paragraph" w:styleId="NormalWeb">
    <w:name w:val="Normal (Web)"/>
    <w:basedOn w:val="Normal"/>
    <w:uiPriority w:val="99"/>
    <w:rsid w:val="00592589"/>
    <w:pPr>
      <w:spacing w:beforeLines="1" w:afterLines="1"/>
    </w:pPr>
    <w:rPr>
      <w:rFonts w:ascii="Times" w:eastAsiaTheme="minorHAnsi" w:hAnsi="Times" w:cs="Times New Roman"/>
      <w:sz w:val="20"/>
      <w:szCs w:val="20"/>
      <w:lang w:eastAsia="nl-NL"/>
    </w:rPr>
  </w:style>
  <w:style w:type="paragraph" w:styleId="Listenumros">
    <w:name w:val="List Number"/>
    <w:basedOn w:val="Normal"/>
    <w:uiPriority w:val="99"/>
    <w:qFormat/>
    <w:rsid w:val="000877D6"/>
    <w:pPr>
      <w:spacing w:after="200" w:line="276" w:lineRule="auto"/>
    </w:pPr>
    <w:rPr>
      <w:rFonts w:ascii="Arial" w:eastAsia="Calibri" w:hAnsi="Arial" w:cs="Times"/>
      <w:sz w:val="22"/>
      <w:szCs w:val="22"/>
      <w:lang w:val="en-AU" w:eastAsia="en-US"/>
    </w:rPr>
  </w:style>
  <w:style w:type="paragraph" w:customStyle="1" w:styleId="Standard1">
    <w:name w:val="Standard1"/>
    <w:rsid w:val="00E56921"/>
    <w:pPr>
      <w:widowControl w:val="0"/>
    </w:pPr>
    <w:rPr>
      <w:rFonts w:ascii="Cambria" w:eastAsia="Cambria" w:hAnsi="Cambria" w:cs="Cambria"/>
      <w:color w:val="000000"/>
      <w:lang w:eastAsia="nl-NL"/>
    </w:rPr>
  </w:style>
  <w:style w:type="character" w:styleId="Lienhypertexte">
    <w:name w:val="Hyperlink"/>
    <w:basedOn w:val="Policepardfaut"/>
    <w:rsid w:val="0095070E"/>
    <w:rPr>
      <w:color w:val="0000FF" w:themeColor="hyperlink"/>
      <w:u w:val="single"/>
    </w:rPr>
  </w:style>
  <w:style w:type="character" w:styleId="Marquedannotation">
    <w:name w:val="annotation reference"/>
    <w:basedOn w:val="Policepardfaut"/>
    <w:rsid w:val="005239A6"/>
    <w:rPr>
      <w:sz w:val="18"/>
      <w:szCs w:val="18"/>
    </w:rPr>
  </w:style>
  <w:style w:type="paragraph" w:styleId="Commentaire">
    <w:name w:val="annotation text"/>
    <w:basedOn w:val="Normal"/>
    <w:link w:val="CommentaireCar"/>
    <w:rsid w:val="005239A6"/>
  </w:style>
  <w:style w:type="character" w:customStyle="1" w:styleId="CommentaireCar">
    <w:name w:val="Commentaire Car"/>
    <w:basedOn w:val="Policepardfaut"/>
    <w:link w:val="Commentaire"/>
    <w:rsid w:val="005239A6"/>
  </w:style>
  <w:style w:type="paragraph" w:styleId="Objetducommentaire">
    <w:name w:val="annotation subject"/>
    <w:basedOn w:val="Commentaire"/>
    <w:next w:val="Commentaire"/>
    <w:link w:val="ObjetducommentaireCar"/>
    <w:rsid w:val="005239A6"/>
    <w:rPr>
      <w:b/>
      <w:bCs/>
      <w:sz w:val="20"/>
      <w:szCs w:val="20"/>
    </w:rPr>
  </w:style>
  <w:style w:type="character" w:customStyle="1" w:styleId="ObjetducommentaireCar">
    <w:name w:val="Objet du commentaire Car"/>
    <w:basedOn w:val="CommentaireCar"/>
    <w:link w:val="Objetducommentaire"/>
    <w:rsid w:val="005239A6"/>
    <w:rPr>
      <w:b/>
      <w:bCs/>
      <w:sz w:val="20"/>
      <w:szCs w:val="20"/>
    </w:rPr>
  </w:style>
  <w:style w:type="paragraph" w:styleId="Paragraphedeliste">
    <w:name w:val="List Paragraph"/>
    <w:basedOn w:val="Normal"/>
    <w:rsid w:val="006433EB"/>
    <w:pPr>
      <w:ind w:left="720"/>
      <w:contextualSpacing/>
    </w:pPr>
  </w:style>
  <w:style w:type="paragraph" w:styleId="Rvision">
    <w:name w:val="Revision"/>
    <w:hidden/>
    <w:rsid w:val="0074332F"/>
  </w:style>
  <w:style w:type="paragraph" w:styleId="En-tte">
    <w:name w:val="header"/>
    <w:basedOn w:val="Normal"/>
    <w:link w:val="En-tteCar"/>
    <w:rsid w:val="00C60BD4"/>
    <w:pPr>
      <w:tabs>
        <w:tab w:val="center" w:pos="4536"/>
        <w:tab w:val="right" w:pos="9072"/>
      </w:tabs>
    </w:pPr>
  </w:style>
  <w:style w:type="character" w:customStyle="1" w:styleId="En-tteCar">
    <w:name w:val="En-tête Car"/>
    <w:basedOn w:val="Policepardfaut"/>
    <w:link w:val="En-tte"/>
    <w:rsid w:val="00C60BD4"/>
  </w:style>
  <w:style w:type="character" w:styleId="Lienhypertextesuivi">
    <w:name w:val="FollowedHyperlink"/>
    <w:basedOn w:val="Policepardfaut"/>
    <w:semiHidden/>
    <w:unhideWhenUsed/>
    <w:rsid w:val="006F43F4"/>
    <w:rPr>
      <w:color w:val="800080" w:themeColor="followedHyperlink"/>
      <w:u w:val="single"/>
    </w:rPr>
  </w:style>
  <w:style w:type="character" w:customStyle="1" w:styleId="apple-converted-space">
    <w:name w:val="apple-converted-space"/>
    <w:basedOn w:val="Policepardfaut"/>
    <w:rsid w:val="004836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qFormat/>
    <w:rsid w:val="00FC64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08332C"/>
    <w:rPr>
      <w:rFonts w:ascii="Lucida Grande" w:hAnsi="Lucida Grande" w:cs="Times New Roman"/>
      <w:sz w:val="18"/>
      <w:szCs w:val="18"/>
      <w:lang w:eastAsia="fr-FR"/>
    </w:rPr>
  </w:style>
  <w:style w:type="character" w:customStyle="1" w:styleId="BallontekstTeken">
    <w:name w:val="Ballontekst Teken"/>
    <w:basedOn w:val="Policepardfaut"/>
    <w:uiPriority w:val="99"/>
    <w:semiHidden/>
    <w:rsid w:val="0090763F"/>
    <w:rPr>
      <w:rFonts w:ascii="Lucida Grande" w:hAnsi="Lucida Grande"/>
      <w:sz w:val="18"/>
      <w:szCs w:val="18"/>
    </w:rPr>
  </w:style>
  <w:style w:type="character" w:customStyle="1" w:styleId="BallontekstTeken0">
    <w:name w:val="Ballontekst Teken"/>
    <w:basedOn w:val="Policepardfaut"/>
    <w:uiPriority w:val="99"/>
    <w:semiHidden/>
    <w:rsid w:val="000A33BE"/>
    <w:rPr>
      <w:rFonts w:ascii="Lucida Grande" w:hAnsi="Lucida Grande"/>
      <w:sz w:val="18"/>
      <w:szCs w:val="18"/>
    </w:rPr>
  </w:style>
  <w:style w:type="character" w:customStyle="1" w:styleId="BallontekstTeken1">
    <w:name w:val="Ballontekst Teken"/>
    <w:basedOn w:val="Policepardfaut"/>
    <w:uiPriority w:val="99"/>
    <w:semiHidden/>
    <w:rsid w:val="000A33BE"/>
    <w:rPr>
      <w:rFonts w:ascii="Lucida Grande" w:hAnsi="Lucida Grande"/>
      <w:sz w:val="18"/>
      <w:szCs w:val="18"/>
    </w:rPr>
  </w:style>
  <w:style w:type="paragraph" w:styleId="Notedebasdepage">
    <w:name w:val="footnote text"/>
    <w:basedOn w:val="Normal"/>
    <w:link w:val="NotedebasdepageCar"/>
    <w:rsid w:val="0008332C"/>
  </w:style>
  <w:style w:type="character" w:customStyle="1" w:styleId="NotedebasdepageCar">
    <w:name w:val="Note de bas de page Car"/>
    <w:basedOn w:val="Policepardfaut"/>
    <w:link w:val="Notedebasdepage"/>
    <w:rsid w:val="0008332C"/>
  </w:style>
  <w:style w:type="character" w:styleId="Marquenotebasdepage">
    <w:name w:val="footnote reference"/>
    <w:basedOn w:val="Policepardfaut"/>
    <w:rsid w:val="0008332C"/>
    <w:rPr>
      <w:vertAlign w:val="superscript"/>
    </w:rPr>
  </w:style>
  <w:style w:type="character" w:customStyle="1" w:styleId="TextedebullesCar">
    <w:name w:val="Texte de bulles Car"/>
    <w:basedOn w:val="Policepardfaut"/>
    <w:link w:val="Textedebulles"/>
    <w:rsid w:val="0008332C"/>
    <w:rPr>
      <w:rFonts w:ascii="Lucida Grande" w:hAnsi="Lucida Grande" w:cs="Times New Roman"/>
      <w:sz w:val="18"/>
      <w:szCs w:val="18"/>
      <w:lang w:eastAsia="fr-FR"/>
    </w:rPr>
  </w:style>
  <w:style w:type="character" w:customStyle="1" w:styleId="BallontekstTeken10">
    <w:name w:val="Ballontekst Teken1"/>
    <w:basedOn w:val="Policepardfaut"/>
    <w:rsid w:val="0008332C"/>
    <w:rPr>
      <w:rFonts w:ascii="Lucida Grande" w:hAnsi="Lucida Grande"/>
      <w:sz w:val="18"/>
      <w:szCs w:val="18"/>
    </w:rPr>
  </w:style>
  <w:style w:type="paragraph" w:styleId="Pieddepage">
    <w:name w:val="footer"/>
    <w:basedOn w:val="Normal"/>
    <w:link w:val="PieddepageCar"/>
    <w:rsid w:val="0008332C"/>
    <w:pPr>
      <w:tabs>
        <w:tab w:val="center" w:pos="4536"/>
        <w:tab w:val="right" w:pos="9072"/>
      </w:tabs>
    </w:pPr>
  </w:style>
  <w:style w:type="character" w:customStyle="1" w:styleId="PieddepageCar">
    <w:name w:val="Pied de page Car"/>
    <w:basedOn w:val="Policepardfaut"/>
    <w:link w:val="Pieddepage"/>
    <w:rsid w:val="0008332C"/>
  </w:style>
  <w:style w:type="character" w:styleId="Numrodepage">
    <w:name w:val="page number"/>
    <w:basedOn w:val="Policepardfaut"/>
    <w:rsid w:val="0008332C"/>
  </w:style>
  <w:style w:type="paragraph" w:styleId="NormalWeb">
    <w:name w:val="Normal (Web)"/>
    <w:basedOn w:val="Normal"/>
    <w:uiPriority w:val="99"/>
    <w:rsid w:val="00592589"/>
    <w:pPr>
      <w:spacing w:beforeLines="1" w:afterLines="1"/>
    </w:pPr>
    <w:rPr>
      <w:rFonts w:ascii="Times" w:eastAsiaTheme="minorHAnsi" w:hAnsi="Times" w:cs="Times New Roman"/>
      <w:sz w:val="20"/>
      <w:szCs w:val="20"/>
      <w:lang w:eastAsia="nl-NL"/>
    </w:rPr>
  </w:style>
  <w:style w:type="paragraph" w:styleId="Listenumros">
    <w:name w:val="List Number"/>
    <w:basedOn w:val="Normal"/>
    <w:uiPriority w:val="99"/>
    <w:qFormat/>
    <w:rsid w:val="000877D6"/>
    <w:pPr>
      <w:spacing w:after="200" w:line="276" w:lineRule="auto"/>
    </w:pPr>
    <w:rPr>
      <w:rFonts w:ascii="Arial" w:eastAsia="Calibri" w:hAnsi="Arial" w:cs="Times"/>
      <w:sz w:val="22"/>
      <w:szCs w:val="22"/>
      <w:lang w:val="en-AU" w:eastAsia="en-US"/>
    </w:rPr>
  </w:style>
  <w:style w:type="paragraph" w:customStyle="1" w:styleId="Standard1">
    <w:name w:val="Standard1"/>
    <w:rsid w:val="00E56921"/>
    <w:pPr>
      <w:widowControl w:val="0"/>
    </w:pPr>
    <w:rPr>
      <w:rFonts w:ascii="Cambria" w:eastAsia="Cambria" w:hAnsi="Cambria" w:cs="Cambria"/>
      <w:color w:val="000000"/>
      <w:lang w:eastAsia="nl-NL"/>
    </w:rPr>
  </w:style>
  <w:style w:type="character" w:styleId="Lienhypertexte">
    <w:name w:val="Hyperlink"/>
    <w:basedOn w:val="Policepardfaut"/>
    <w:rsid w:val="0095070E"/>
    <w:rPr>
      <w:color w:val="0000FF" w:themeColor="hyperlink"/>
      <w:u w:val="single"/>
    </w:rPr>
  </w:style>
  <w:style w:type="character" w:styleId="Marquedannotation">
    <w:name w:val="annotation reference"/>
    <w:basedOn w:val="Policepardfaut"/>
    <w:rsid w:val="005239A6"/>
    <w:rPr>
      <w:sz w:val="18"/>
      <w:szCs w:val="18"/>
    </w:rPr>
  </w:style>
  <w:style w:type="paragraph" w:styleId="Commentaire">
    <w:name w:val="annotation text"/>
    <w:basedOn w:val="Normal"/>
    <w:link w:val="CommentaireCar"/>
    <w:rsid w:val="005239A6"/>
  </w:style>
  <w:style w:type="character" w:customStyle="1" w:styleId="CommentaireCar">
    <w:name w:val="Commentaire Car"/>
    <w:basedOn w:val="Policepardfaut"/>
    <w:link w:val="Commentaire"/>
    <w:rsid w:val="005239A6"/>
  </w:style>
  <w:style w:type="paragraph" w:styleId="Objetducommentaire">
    <w:name w:val="annotation subject"/>
    <w:basedOn w:val="Commentaire"/>
    <w:next w:val="Commentaire"/>
    <w:link w:val="ObjetducommentaireCar"/>
    <w:rsid w:val="005239A6"/>
    <w:rPr>
      <w:b/>
      <w:bCs/>
      <w:sz w:val="20"/>
      <w:szCs w:val="20"/>
    </w:rPr>
  </w:style>
  <w:style w:type="character" w:customStyle="1" w:styleId="ObjetducommentaireCar">
    <w:name w:val="Objet du commentaire Car"/>
    <w:basedOn w:val="CommentaireCar"/>
    <w:link w:val="Objetducommentaire"/>
    <w:rsid w:val="005239A6"/>
    <w:rPr>
      <w:b/>
      <w:bCs/>
      <w:sz w:val="20"/>
      <w:szCs w:val="20"/>
    </w:rPr>
  </w:style>
  <w:style w:type="paragraph" w:styleId="Paragraphedeliste">
    <w:name w:val="List Paragraph"/>
    <w:basedOn w:val="Normal"/>
    <w:rsid w:val="006433EB"/>
    <w:pPr>
      <w:ind w:left="720"/>
      <w:contextualSpacing/>
    </w:pPr>
  </w:style>
  <w:style w:type="paragraph" w:styleId="Rvision">
    <w:name w:val="Revision"/>
    <w:hidden/>
    <w:rsid w:val="0074332F"/>
  </w:style>
  <w:style w:type="paragraph" w:styleId="En-tte">
    <w:name w:val="header"/>
    <w:basedOn w:val="Normal"/>
    <w:link w:val="En-tteCar"/>
    <w:rsid w:val="00C60BD4"/>
    <w:pPr>
      <w:tabs>
        <w:tab w:val="center" w:pos="4536"/>
        <w:tab w:val="right" w:pos="9072"/>
      </w:tabs>
    </w:pPr>
  </w:style>
  <w:style w:type="character" w:customStyle="1" w:styleId="En-tteCar">
    <w:name w:val="En-tête Car"/>
    <w:basedOn w:val="Policepardfaut"/>
    <w:link w:val="En-tte"/>
    <w:rsid w:val="00C60BD4"/>
  </w:style>
  <w:style w:type="character" w:styleId="Lienhypertextesuivi">
    <w:name w:val="FollowedHyperlink"/>
    <w:basedOn w:val="Policepardfaut"/>
    <w:semiHidden/>
    <w:unhideWhenUsed/>
    <w:rsid w:val="006F43F4"/>
    <w:rPr>
      <w:color w:val="800080" w:themeColor="followedHyperlink"/>
      <w:u w:val="single"/>
    </w:rPr>
  </w:style>
  <w:style w:type="character" w:customStyle="1" w:styleId="apple-converted-space">
    <w:name w:val="apple-converted-space"/>
    <w:basedOn w:val="Policepardfaut"/>
    <w:rsid w:val="0048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0042">
      <w:bodyDiv w:val="1"/>
      <w:marLeft w:val="0"/>
      <w:marRight w:val="0"/>
      <w:marTop w:val="0"/>
      <w:marBottom w:val="0"/>
      <w:divBdr>
        <w:top w:val="none" w:sz="0" w:space="0" w:color="auto"/>
        <w:left w:val="none" w:sz="0" w:space="0" w:color="auto"/>
        <w:bottom w:val="none" w:sz="0" w:space="0" w:color="auto"/>
        <w:right w:val="none" w:sz="0" w:space="0" w:color="auto"/>
      </w:divBdr>
      <w:divsChild>
        <w:div w:id="1100299855">
          <w:marLeft w:val="0"/>
          <w:marRight w:val="0"/>
          <w:marTop w:val="0"/>
          <w:marBottom w:val="0"/>
          <w:divBdr>
            <w:top w:val="none" w:sz="0" w:space="0" w:color="auto"/>
            <w:left w:val="none" w:sz="0" w:space="0" w:color="auto"/>
            <w:bottom w:val="none" w:sz="0" w:space="0" w:color="auto"/>
            <w:right w:val="none" w:sz="0" w:space="0" w:color="auto"/>
          </w:divBdr>
          <w:divsChild>
            <w:div w:id="1800031963">
              <w:marLeft w:val="0"/>
              <w:marRight w:val="0"/>
              <w:marTop w:val="0"/>
              <w:marBottom w:val="0"/>
              <w:divBdr>
                <w:top w:val="none" w:sz="0" w:space="0" w:color="auto"/>
                <w:left w:val="none" w:sz="0" w:space="0" w:color="auto"/>
                <w:bottom w:val="none" w:sz="0" w:space="0" w:color="auto"/>
                <w:right w:val="none" w:sz="0" w:space="0" w:color="auto"/>
              </w:divBdr>
              <w:divsChild>
                <w:div w:id="2807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8307">
      <w:bodyDiv w:val="1"/>
      <w:marLeft w:val="0"/>
      <w:marRight w:val="0"/>
      <w:marTop w:val="0"/>
      <w:marBottom w:val="0"/>
      <w:divBdr>
        <w:top w:val="none" w:sz="0" w:space="0" w:color="auto"/>
        <w:left w:val="none" w:sz="0" w:space="0" w:color="auto"/>
        <w:bottom w:val="none" w:sz="0" w:space="0" w:color="auto"/>
        <w:right w:val="none" w:sz="0" w:space="0" w:color="auto"/>
      </w:divBdr>
      <w:divsChild>
        <w:div w:id="1397782269">
          <w:marLeft w:val="0"/>
          <w:marRight w:val="0"/>
          <w:marTop w:val="0"/>
          <w:marBottom w:val="0"/>
          <w:divBdr>
            <w:top w:val="none" w:sz="0" w:space="0" w:color="auto"/>
            <w:left w:val="none" w:sz="0" w:space="0" w:color="auto"/>
            <w:bottom w:val="none" w:sz="0" w:space="0" w:color="auto"/>
            <w:right w:val="none" w:sz="0" w:space="0" w:color="auto"/>
          </w:divBdr>
          <w:divsChild>
            <w:div w:id="1000163095">
              <w:marLeft w:val="0"/>
              <w:marRight w:val="0"/>
              <w:marTop w:val="0"/>
              <w:marBottom w:val="0"/>
              <w:divBdr>
                <w:top w:val="none" w:sz="0" w:space="0" w:color="auto"/>
                <w:left w:val="none" w:sz="0" w:space="0" w:color="auto"/>
                <w:bottom w:val="none" w:sz="0" w:space="0" w:color="auto"/>
                <w:right w:val="none" w:sz="0" w:space="0" w:color="auto"/>
              </w:divBdr>
              <w:divsChild>
                <w:div w:id="425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5176">
      <w:bodyDiv w:val="1"/>
      <w:marLeft w:val="0"/>
      <w:marRight w:val="0"/>
      <w:marTop w:val="0"/>
      <w:marBottom w:val="0"/>
      <w:divBdr>
        <w:top w:val="none" w:sz="0" w:space="0" w:color="auto"/>
        <w:left w:val="none" w:sz="0" w:space="0" w:color="auto"/>
        <w:bottom w:val="none" w:sz="0" w:space="0" w:color="auto"/>
        <w:right w:val="none" w:sz="0" w:space="0" w:color="auto"/>
      </w:divBdr>
      <w:divsChild>
        <w:div w:id="735976767">
          <w:marLeft w:val="0"/>
          <w:marRight w:val="0"/>
          <w:marTop w:val="0"/>
          <w:marBottom w:val="0"/>
          <w:divBdr>
            <w:top w:val="none" w:sz="0" w:space="0" w:color="auto"/>
            <w:left w:val="none" w:sz="0" w:space="0" w:color="auto"/>
            <w:bottom w:val="none" w:sz="0" w:space="0" w:color="auto"/>
            <w:right w:val="none" w:sz="0" w:space="0" w:color="auto"/>
          </w:divBdr>
          <w:divsChild>
            <w:div w:id="176651634">
              <w:marLeft w:val="0"/>
              <w:marRight w:val="0"/>
              <w:marTop w:val="0"/>
              <w:marBottom w:val="0"/>
              <w:divBdr>
                <w:top w:val="none" w:sz="0" w:space="0" w:color="auto"/>
                <w:left w:val="none" w:sz="0" w:space="0" w:color="auto"/>
                <w:bottom w:val="none" w:sz="0" w:space="0" w:color="auto"/>
                <w:right w:val="none" w:sz="0" w:space="0" w:color="auto"/>
              </w:divBdr>
              <w:divsChild>
                <w:div w:id="14419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5718">
      <w:bodyDiv w:val="1"/>
      <w:marLeft w:val="0"/>
      <w:marRight w:val="0"/>
      <w:marTop w:val="0"/>
      <w:marBottom w:val="0"/>
      <w:divBdr>
        <w:top w:val="none" w:sz="0" w:space="0" w:color="auto"/>
        <w:left w:val="none" w:sz="0" w:space="0" w:color="auto"/>
        <w:bottom w:val="none" w:sz="0" w:space="0" w:color="auto"/>
        <w:right w:val="none" w:sz="0" w:space="0" w:color="auto"/>
      </w:divBdr>
      <w:divsChild>
        <w:div w:id="927466320">
          <w:marLeft w:val="0"/>
          <w:marRight w:val="0"/>
          <w:marTop w:val="0"/>
          <w:marBottom w:val="0"/>
          <w:divBdr>
            <w:top w:val="none" w:sz="0" w:space="0" w:color="auto"/>
            <w:left w:val="none" w:sz="0" w:space="0" w:color="auto"/>
            <w:bottom w:val="none" w:sz="0" w:space="0" w:color="auto"/>
            <w:right w:val="none" w:sz="0" w:space="0" w:color="auto"/>
          </w:divBdr>
          <w:divsChild>
            <w:div w:id="908806174">
              <w:marLeft w:val="0"/>
              <w:marRight w:val="0"/>
              <w:marTop w:val="0"/>
              <w:marBottom w:val="0"/>
              <w:divBdr>
                <w:top w:val="none" w:sz="0" w:space="0" w:color="auto"/>
                <w:left w:val="none" w:sz="0" w:space="0" w:color="auto"/>
                <w:bottom w:val="none" w:sz="0" w:space="0" w:color="auto"/>
                <w:right w:val="none" w:sz="0" w:space="0" w:color="auto"/>
              </w:divBdr>
              <w:divsChild>
                <w:div w:id="1433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3535">
      <w:bodyDiv w:val="1"/>
      <w:marLeft w:val="0"/>
      <w:marRight w:val="0"/>
      <w:marTop w:val="0"/>
      <w:marBottom w:val="0"/>
      <w:divBdr>
        <w:top w:val="none" w:sz="0" w:space="0" w:color="auto"/>
        <w:left w:val="none" w:sz="0" w:space="0" w:color="auto"/>
        <w:bottom w:val="none" w:sz="0" w:space="0" w:color="auto"/>
        <w:right w:val="none" w:sz="0" w:space="0" w:color="auto"/>
      </w:divBdr>
    </w:div>
    <w:div w:id="399669613">
      <w:bodyDiv w:val="1"/>
      <w:marLeft w:val="0"/>
      <w:marRight w:val="0"/>
      <w:marTop w:val="0"/>
      <w:marBottom w:val="0"/>
      <w:divBdr>
        <w:top w:val="none" w:sz="0" w:space="0" w:color="auto"/>
        <w:left w:val="none" w:sz="0" w:space="0" w:color="auto"/>
        <w:bottom w:val="none" w:sz="0" w:space="0" w:color="auto"/>
        <w:right w:val="none" w:sz="0" w:space="0" w:color="auto"/>
      </w:divBdr>
      <w:divsChild>
        <w:div w:id="756632922">
          <w:marLeft w:val="0"/>
          <w:marRight w:val="0"/>
          <w:marTop w:val="0"/>
          <w:marBottom w:val="0"/>
          <w:divBdr>
            <w:top w:val="none" w:sz="0" w:space="0" w:color="auto"/>
            <w:left w:val="none" w:sz="0" w:space="0" w:color="auto"/>
            <w:bottom w:val="none" w:sz="0" w:space="0" w:color="auto"/>
            <w:right w:val="none" w:sz="0" w:space="0" w:color="auto"/>
          </w:divBdr>
          <w:divsChild>
            <w:div w:id="1043674037">
              <w:marLeft w:val="0"/>
              <w:marRight w:val="0"/>
              <w:marTop w:val="0"/>
              <w:marBottom w:val="0"/>
              <w:divBdr>
                <w:top w:val="none" w:sz="0" w:space="0" w:color="auto"/>
                <w:left w:val="none" w:sz="0" w:space="0" w:color="auto"/>
                <w:bottom w:val="none" w:sz="0" w:space="0" w:color="auto"/>
                <w:right w:val="none" w:sz="0" w:space="0" w:color="auto"/>
              </w:divBdr>
              <w:divsChild>
                <w:div w:id="4048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8354">
      <w:bodyDiv w:val="1"/>
      <w:marLeft w:val="0"/>
      <w:marRight w:val="0"/>
      <w:marTop w:val="0"/>
      <w:marBottom w:val="0"/>
      <w:divBdr>
        <w:top w:val="none" w:sz="0" w:space="0" w:color="auto"/>
        <w:left w:val="none" w:sz="0" w:space="0" w:color="auto"/>
        <w:bottom w:val="none" w:sz="0" w:space="0" w:color="auto"/>
        <w:right w:val="none" w:sz="0" w:space="0" w:color="auto"/>
      </w:divBdr>
      <w:divsChild>
        <w:div w:id="1909417328">
          <w:marLeft w:val="0"/>
          <w:marRight w:val="0"/>
          <w:marTop w:val="0"/>
          <w:marBottom w:val="0"/>
          <w:divBdr>
            <w:top w:val="none" w:sz="0" w:space="0" w:color="auto"/>
            <w:left w:val="none" w:sz="0" w:space="0" w:color="auto"/>
            <w:bottom w:val="none" w:sz="0" w:space="0" w:color="auto"/>
            <w:right w:val="none" w:sz="0" w:space="0" w:color="auto"/>
          </w:divBdr>
          <w:divsChild>
            <w:div w:id="1801730222">
              <w:marLeft w:val="0"/>
              <w:marRight w:val="0"/>
              <w:marTop w:val="0"/>
              <w:marBottom w:val="0"/>
              <w:divBdr>
                <w:top w:val="none" w:sz="0" w:space="0" w:color="auto"/>
                <w:left w:val="none" w:sz="0" w:space="0" w:color="auto"/>
                <w:bottom w:val="none" w:sz="0" w:space="0" w:color="auto"/>
                <w:right w:val="none" w:sz="0" w:space="0" w:color="auto"/>
              </w:divBdr>
              <w:divsChild>
                <w:div w:id="3988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4728">
      <w:bodyDiv w:val="1"/>
      <w:marLeft w:val="0"/>
      <w:marRight w:val="0"/>
      <w:marTop w:val="0"/>
      <w:marBottom w:val="0"/>
      <w:divBdr>
        <w:top w:val="none" w:sz="0" w:space="0" w:color="auto"/>
        <w:left w:val="none" w:sz="0" w:space="0" w:color="auto"/>
        <w:bottom w:val="none" w:sz="0" w:space="0" w:color="auto"/>
        <w:right w:val="none" w:sz="0" w:space="0" w:color="auto"/>
      </w:divBdr>
      <w:divsChild>
        <w:div w:id="1508640102">
          <w:marLeft w:val="0"/>
          <w:marRight w:val="0"/>
          <w:marTop w:val="0"/>
          <w:marBottom w:val="0"/>
          <w:divBdr>
            <w:top w:val="none" w:sz="0" w:space="0" w:color="auto"/>
            <w:left w:val="none" w:sz="0" w:space="0" w:color="auto"/>
            <w:bottom w:val="none" w:sz="0" w:space="0" w:color="auto"/>
            <w:right w:val="none" w:sz="0" w:space="0" w:color="auto"/>
          </w:divBdr>
          <w:divsChild>
            <w:div w:id="550961348">
              <w:marLeft w:val="0"/>
              <w:marRight w:val="0"/>
              <w:marTop w:val="0"/>
              <w:marBottom w:val="0"/>
              <w:divBdr>
                <w:top w:val="none" w:sz="0" w:space="0" w:color="auto"/>
                <w:left w:val="none" w:sz="0" w:space="0" w:color="auto"/>
                <w:bottom w:val="none" w:sz="0" w:space="0" w:color="auto"/>
                <w:right w:val="none" w:sz="0" w:space="0" w:color="auto"/>
              </w:divBdr>
              <w:divsChild>
                <w:div w:id="13768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0359">
      <w:bodyDiv w:val="1"/>
      <w:marLeft w:val="0"/>
      <w:marRight w:val="0"/>
      <w:marTop w:val="0"/>
      <w:marBottom w:val="0"/>
      <w:divBdr>
        <w:top w:val="none" w:sz="0" w:space="0" w:color="auto"/>
        <w:left w:val="none" w:sz="0" w:space="0" w:color="auto"/>
        <w:bottom w:val="none" w:sz="0" w:space="0" w:color="auto"/>
        <w:right w:val="none" w:sz="0" w:space="0" w:color="auto"/>
      </w:divBdr>
    </w:div>
    <w:div w:id="1117063929">
      <w:bodyDiv w:val="1"/>
      <w:marLeft w:val="0"/>
      <w:marRight w:val="0"/>
      <w:marTop w:val="0"/>
      <w:marBottom w:val="0"/>
      <w:divBdr>
        <w:top w:val="none" w:sz="0" w:space="0" w:color="auto"/>
        <w:left w:val="none" w:sz="0" w:space="0" w:color="auto"/>
        <w:bottom w:val="none" w:sz="0" w:space="0" w:color="auto"/>
        <w:right w:val="none" w:sz="0" w:space="0" w:color="auto"/>
      </w:divBdr>
      <w:divsChild>
        <w:div w:id="129253626">
          <w:marLeft w:val="0"/>
          <w:marRight w:val="0"/>
          <w:marTop w:val="0"/>
          <w:marBottom w:val="0"/>
          <w:divBdr>
            <w:top w:val="none" w:sz="0" w:space="0" w:color="auto"/>
            <w:left w:val="none" w:sz="0" w:space="0" w:color="auto"/>
            <w:bottom w:val="none" w:sz="0" w:space="0" w:color="auto"/>
            <w:right w:val="none" w:sz="0" w:space="0" w:color="auto"/>
          </w:divBdr>
          <w:divsChild>
            <w:div w:id="52699962">
              <w:marLeft w:val="0"/>
              <w:marRight w:val="0"/>
              <w:marTop w:val="0"/>
              <w:marBottom w:val="0"/>
              <w:divBdr>
                <w:top w:val="none" w:sz="0" w:space="0" w:color="auto"/>
                <w:left w:val="none" w:sz="0" w:space="0" w:color="auto"/>
                <w:bottom w:val="none" w:sz="0" w:space="0" w:color="auto"/>
                <w:right w:val="none" w:sz="0" w:space="0" w:color="auto"/>
              </w:divBdr>
              <w:divsChild>
                <w:div w:id="16746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4221">
      <w:bodyDiv w:val="1"/>
      <w:marLeft w:val="0"/>
      <w:marRight w:val="0"/>
      <w:marTop w:val="0"/>
      <w:marBottom w:val="0"/>
      <w:divBdr>
        <w:top w:val="none" w:sz="0" w:space="0" w:color="auto"/>
        <w:left w:val="none" w:sz="0" w:space="0" w:color="auto"/>
        <w:bottom w:val="none" w:sz="0" w:space="0" w:color="auto"/>
        <w:right w:val="none" w:sz="0" w:space="0" w:color="auto"/>
      </w:divBdr>
      <w:divsChild>
        <w:div w:id="930359164">
          <w:marLeft w:val="0"/>
          <w:marRight w:val="0"/>
          <w:marTop w:val="0"/>
          <w:marBottom w:val="0"/>
          <w:divBdr>
            <w:top w:val="none" w:sz="0" w:space="0" w:color="auto"/>
            <w:left w:val="none" w:sz="0" w:space="0" w:color="auto"/>
            <w:bottom w:val="none" w:sz="0" w:space="0" w:color="auto"/>
            <w:right w:val="none" w:sz="0" w:space="0" w:color="auto"/>
          </w:divBdr>
          <w:divsChild>
            <w:div w:id="227502876">
              <w:marLeft w:val="0"/>
              <w:marRight w:val="0"/>
              <w:marTop w:val="0"/>
              <w:marBottom w:val="0"/>
              <w:divBdr>
                <w:top w:val="none" w:sz="0" w:space="0" w:color="auto"/>
                <w:left w:val="none" w:sz="0" w:space="0" w:color="auto"/>
                <w:bottom w:val="none" w:sz="0" w:space="0" w:color="auto"/>
                <w:right w:val="none" w:sz="0" w:space="0" w:color="auto"/>
              </w:divBdr>
              <w:divsChild>
                <w:div w:id="9251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04476">
      <w:bodyDiv w:val="1"/>
      <w:marLeft w:val="0"/>
      <w:marRight w:val="0"/>
      <w:marTop w:val="0"/>
      <w:marBottom w:val="0"/>
      <w:divBdr>
        <w:top w:val="none" w:sz="0" w:space="0" w:color="auto"/>
        <w:left w:val="none" w:sz="0" w:space="0" w:color="auto"/>
        <w:bottom w:val="none" w:sz="0" w:space="0" w:color="auto"/>
        <w:right w:val="none" w:sz="0" w:space="0" w:color="auto"/>
      </w:divBdr>
    </w:div>
    <w:div w:id="1230994303">
      <w:bodyDiv w:val="1"/>
      <w:marLeft w:val="0"/>
      <w:marRight w:val="0"/>
      <w:marTop w:val="0"/>
      <w:marBottom w:val="0"/>
      <w:divBdr>
        <w:top w:val="none" w:sz="0" w:space="0" w:color="auto"/>
        <w:left w:val="none" w:sz="0" w:space="0" w:color="auto"/>
        <w:bottom w:val="none" w:sz="0" w:space="0" w:color="auto"/>
        <w:right w:val="none" w:sz="0" w:space="0" w:color="auto"/>
      </w:divBdr>
    </w:div>
    <w:div w:id="1266353346">
      <w:bodyDiv w:val="1"/>
      <w:marLeft w:val="0"/>
      <w:marRight w:val="0"/>
      <w:marTop w:val="0"/>
      <w:marBottom w:val="0"/>
      <w:divBdr>
        <w:top w:val="none" w:sz="0" w:space="0" w:color="auto"/>
        <w:left w:val="none" w:sz="0" w:space="0" w:color="auto"/>
        <w:bottom w:val="none" w:sz="0" w:space="0" w:color="auto"/>
        <w:right w:val="none" w:sz="0" w:space="0" w:color="auto"/>
      </w:divBdr>
    </w:div>
    <w:div w:id="1543861564">
      <w:bodyDiv w:val="1"/>
      <w:marLeft w:val="0"/>
      <w:marRight w:val="0"/>
      <w:marTop w:val="0"/>
      <w:marBottom w:val="0"/>
      <w:divBdr>
        <w:top w:val="none" w:sz="0" w:space="0" w:color="auto"/>
        <w:left w:val="none" w:sz="0" w:space="0" w:color="auto"/>
        <w:bottom w:val="none" w:sz="0" w:space="0" w:color="auto"/>
        <w:right w:val="none" w:sz="0" w:space="0" w:color="auto"/>
      </w:divBdr>
      <w:divsChild>
        <w:div w:id="950160698">
          <w:marLeft w:val="0"/>
          <w:marRight w:val="0"/>
          <w:marTop w:val="0"/>
          <w:marBottom w:val="0"/>
          <w:divBdr>
            <w:top w:val="none" w:sz="0" w:space="0" w:color="auto"/>
            <w:left w:val="none" w:sz="0" w:space="0" w:color="auto"/>
            <w:bottom w:val="none" w:sz="0" w:space="0" w:color="auto"/>
            <w:right w:val="none" w:sz="0" w:space="0" w:color="auto"/>
          </w:divBdr>
          <w:divsChild>
            <w:div w:id="453669374">
              <w:marLeft w:val="0"/>
              <w:marRight w:val="0"/>
              <w:marTop w:val="0"/>
              <w:marBottom w:val="0"/>
              <w:divBdr>
                <w:top w:val="none" w:sz="0" w:space="0" w:color="auto"/>
                <w:left w:val="none" w:sz="0" w:space="0" w:color="auto"/>
                <w:bottom w:val="none" w:sz="0" w:space="0" w:color="auto"/>
                <w:right w:val="none" w:sz="0" w:space="0" w:color="auto"/>
              </w:divBdr>
            </w:div>
            <w:div w:id="753673975">
              <w:marLeft w:val="0"/>
              <w:marRight w:val="0"/>
              <w:marTop w:val="0"/>
              <w:marBottom w:val="0"/>
              <w:divBdr>
                <w:top w:val="none" w:sz="0" w:space="0" w:color="auto"/>
                <w:left w:val="none" w:sz="0" w:space="0" w:color="auto"/>
                <w:bottom w:val="none" w:sz="0" w:space="0" w:color="auto"/>
                <w:right w:val="none" w:sz="0" w:space="0" w:color="auto"/>
              </w:divBdr>
            </w:div>
            <w:div w:id="1017996831">
              <w:marLeft w:val="0"/>
              <w:marRight w:val="0"/>
              <w:marTop w:val="0"/>
              <w:marBottom w:val="0"/>
              <w:divBdr>
                <w:top w:val="none" w:sz="0" w:space="0" w:color="auto"/>
                <w:left w:val="none" w:sz="0" w:space="0" w:color="auto"/>
                <w:bottom w:val="none" w:sz="0" w:space="0" w:color="auto"/>
                <w:right w:val="none" w:sz="0" w:space="0" w:color="auto"/>
              </w:divBdr>
            </w:div>
            <w:div w:id="1239901994">
              <w:marLeft w:val="0"/>
              <w:marRight w:val="0"/>
              <w:marTop w:val="0"/>
              <w:marBottom w:val="0"/>
              <w:divBdr>
                <w:top w:val="none" w:sz="0" w:space="0" w:color="auto"/>
                <w:left w:val="none" w:sz="0" w:space="0" w:color="auto"/>
                <w:bottom w:val="none" w:sz="0" w:space="0" w:color="auto"/>
                <w:right w:val="none" w:sz="0" w:space="0" w:color="auto"/>
              </w:divBdr>
            </w:div>
            <w:div w:id="1255434363">
              <w:marLeft w:val="0"/>
              <w:marRight w:val="0"/>
              <w:marTop w:val="0"/>
              <w:marBottom w:val="0"/>
              <w:divBdr>
                <w:top w:val="none" w:sz="0" w:space="0" w:color="auto"/>
                <w:left w:val="none" w:sz="0" w:space="0" w:color="auto"/>
                <w:bottom w:val="none" w:sz="0" w:space="0" w:color="auto"/>
                <w:right w:val="none" w:sz="0" w:space="0" w:color="auto"/>
              </w:divBdr>
            </w:div>
            <w:div w:id="1289355962">
              <w:marLeft w:val="0"/>
              <w:marRight w:val="0"/>
              <w:marTop w:val="0"/>
              <w:marBottom w:val="0"/>
              <w:divBdr>
                <w:top w:val="none" w:sz="0" w:space="0" w:color="auto"/>
                <w:left w:val="none" w:sz="0" w:space="0" w:color="auto"/>
                <w:bottom w:val="none" w:sz="0" w:space="0" w:color="auto"/>
                <w:right w:val="none" w:sz="0" w:space="0" w:color="auto"/>
              </w:divBdr>
            </w:div>
            <w:div w:id="1423838104">
              <w:marLeft w:val="0"/>
              <w:marRight w:val="0"/>
              <w:marTop w:val="0"/>
              <w:marBottom w:val="0"/>
              <w:divBdr>
                <w:top w:val="none" w:sz="0" w:space="0" w:color="auto"/>
                <w:left w:val="none" w:sz="0" w:space="0" w:color="auto"/>
                <w:bottom w:val="none" w:sz="0" w:space="0" w:color="auto"/>
                <w:right w:val="none" w:sz="0" w:space="0" w:color="auto"/>
              </w:divBdr>
            </w:div>
            <w:div w:id="1433932974">
              <w:marLeft w:val="0"/>
              <w:marRight w:val="0"/>
              <w:marTop w:val="0"/>
              <w:marBottom w:val="0"/>
              <w:divBdr>
                <w:top w:val="none" w:sz="0" w:space="0" w:color="auto"/>
                <w:left w:val="none" w:sz="0" w:space="0" w:color="auto"/>
                <w:bottom w:val="none" w:sz="0" w:space="0" w:color="auto"/>
                <w:right w:val="none" w:sz="0" w:space="0" w:color="auto"/>
              </w:divBdr>
            </w:div>
            <w:div w:id="1536386066">
              <w:marLeft w:val="0"/>
              <w:marRight w:val="0"/>
              <w:marTop w:val="0"/>
              <w:marBottom w:val="0"/>
              <w:divBdr>
                <w:top w:val="none" w:sz="0" w:space="0" w:color="auto"/>
                <w:left w:val="none" w:sz="0" w:space="0" w:color="auto"/>
                <w:bottom w:val="none" w:sz="0" w:space="0" w:color="auto"/>
                <w:right w:val="none" w:sz="0" w:space="0" w:color="auto"/>
              </w:divBdr>
            </w:div>
            <w:div w:id="1549686644">
              <w:marLeft w:val="0"/>
              <w:marRight w:val="0"/>
              <w:marTop w:val="0"/>
              <w:marBottom w:val="0"/>
              <w:divBdr>
                <w:top w:val="none" w:sz="0" w:space="0" w:color="auto"/>
                <w:left w:val="none" w:sz="0" w:space="0" w:color="auto"/>
                <w:bottom w:val="none" w:sz="0" w:space="0" w:color="auto"/>
                <w:right w:val="none" w:sz="0" w:space="0" w:color="auto"/>
              </w:divBdr>
            </w:div>
            <w:div w:id="1678848516">
              <w:marLeft w:val="0"/>
              <w:marRight w:val="0"/>
              <w:marTop w:val="0"/>
              <w:marBottom w:val="0"/>
              <w:divBdr>
                <w:top w:val="none" w:sz="0" w:space="0" w:color="auto"/>
                <w:left w:val="none" w:sz="0" w:space="0" w:color="auto"/>
                <w:bottom w:val="none" w:sz="0" w:space="0" w:color="auto"/>
                <w:right w:val="none" w:sz="0" w:space="0" w:color="auto"/>
              </w:divBdr>
            </w:div>
            <w:div w:id="17715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20163">
      <w:bodyDiv w:val="1"/>
      <w:marLeft w:val="0"/>
      <w:marRight w:val="0"/>
      <w:marTop w:val="0"/>
      <w:marBottom w:val="0"/>
      <w:divBdr>
        <w:top w:val="none" w:sz="0" w:space="0" w:color="auto"/>
        <w:left w:val="none" w:sz="0" w:space="0" w:color="auto"/>
        <w:bottom w:val="none" w:sz="0" w:space="0" w:color="auto"/>
        <w:right w:val="none" w:sz="0" w:space="0" w:color="auto"/>
      </w:divBdr>
      <w:divsChild>
        <w:div w:id="241377201">
          <w:marLeft w:val="0"/>
          <w:marRight w:val="0"/>
          <w:marTop w:val="0"/>
          <w:marBottom w:val="0"/>
          <w:divBdr>
            <w:top w:val="none" w:sz="0" w:space="0" w:color="auto"/>
            <w:left w:val="none" w:sz="0" w:space="0" w:color="auto"/>
            <w:bottom w:val="none" w:sz="0" w:space="0" w:color="auto"/>
            <w:right w:val="none" w:sz="0" w:space="0" w:color="auto"/>
          </w:divBdr>
          <w:divsChild>
            <w:div w:id="488786149">
              <w:marLeft w:val="0"/>
              <w:marRight w:val="0"/>
              <w:marTop w:val="0"/>
              <w:marBottom w:val="0"/>
              <w:divBdr>
                <w:top w:val="none" w:sz="0" w:space="0" w:color="auto"/>
                <w:left w:val="none" w:sz="0" w:space="0" w:color="auto"/>
                <w:bottom w:val="none" w:sz="0" w:space="0" w:color="auto"/>
                <w:right w:val="none" w:sz="0" w:space="0" w:color="auto"/>
              </w:divBdr>
              <w:divsChild>
                <w:div w:id="16747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359">
      <w:bodyDiv w:val="1"/>
      <w:marLeft w:val="0"/>
      <w:marRight w:val="0"/>
      <w:marTop w:val="0"/>
      <w:marBottom w:val="0"/>
      <w:divBdr>
        <w:top w:val="none" w:sz="0" w:space="0" w:color="auto"/>
        <w:left w:val="none" w:sz="0" w:space="0" w:color="auto"/>
        <w:bottom w:val="none" w:sz="0" w:space="0" w:color="auto"/>
        <w:right w:val="none" w:sz="0" w:space="0" w:color="auto"/>
      </w:divBdr>
      <w:divsChild>
        <w:div w:id="707997578">
          <w:marLeft w:val="0"/>
          <w:marRight w:val="0"/>
          <w:marTop w:val="0"/>
          <w:marBottom w:val="0"/>
          <w:divBdr>
            <w:top w:val="none" w:sz="0" w:space="0" w:color="auto"/>
            <w:left w:val="none" w:sz="0" w:space="0" w:color="auto"/>
            <w:bottom w:val="none" w:sz="0" w:space="0" w:color="auto"/>
            <w:right w:val="none" w:sz="0" w:space="0" w:color="auto"/>
          </w:divBdr>
          <w:divsChild>
            <w:div w:id="2063357389">
              <w:marLeft w:val="0"/>
              <w:marRight w:val="0"/>
              <w:marTop w:val="0"/>
              <w:marBottom w:val="0"/>
              <w:divBdr>
                <w:top w:val="none" w:sz="0" w:space="0" w:color="auto"/>
                <w:left w:val="none" w:sz="0" w:space="0" w:color="auto"/>
                <w:bottom w:val="none" w:sz="0" w:space="0" w:color="auto"/>
                <w:right w:val="none" w:sz="0" w:space="0" w:color="auto"/>
              </w:divBdr>
              <w:divsChild>
                <w:div w:id="19754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47246">
      <w:bodyDiv w:val="1"/>
      <w:marLeft w:val="0"/>
      <w:marRight w:val="0"/>
      <w:marTop w:val="0"/>
      <w:marBottom w:val="0"/>
      <w:divBdr>
        <w:top w:val="none" w:sz="0" w:space="0" w:color="auto"/>
        <w:left w:val="none" w:sz="0" w:space="0" w:color="auto"/>
        <w:bottom w:val="none" w:sz="0" w:space="0" w:color="auto"/>
        <w:right w:val="none" w:sz="0" w:space="0" w:color="auto"/>
      </w:divBdr>
      <w:divsChild>
        <w:div w:id="1839073313">
          <w:marLeft w:val="0"/>
          <w:marRight w:val="0"/>
          <w:marTop w:val="0"/>
          <w:marBottom w:val="0"/>
          <w:divBdr>
            <w:top w:val="none" w:sz="0" w:space="0" w:color="auto"/>
            <w:left w:val="none" w:sz="0" w:space="0" w:color="auto"/>
            <w:bottom w:val="none" w:sz="0" w:space="0" w:color="auto"/>
            <w:right w:val="none" w:sz="0" w:space="0" w:color="auto"/>
          </w:divBdr>
          <w:divsChild>
            <w:div w:id="937176013">
              <w:marLeft w:val="0"/>
              <w:marRight w:val="0"/>
              <w:marTop w:val="0"/>
              <w:marBottom w:val="0"/>
              <w:divBdr>
                <w:top w:val="none" w:sz="0" w:space="0" w:color="auto"/>
                <w:left w:val="none" w:sz="0" w:space="0" w:color="auto"/>
                <w:bottom w:val="none" w:sz="0" w:space="0" w:color="auto"/>
                <w:right w:val="none" w:sz="0" w:space="0" w:color="auto"/>
              </w:divBdr>
              <w:divsChild>
                <w:div w:id="1227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620">
      <w:bodyDiv w:val="1"/>
      <w:marLeft w:val="0"/>
      <w:marRight w:val="0"/>
      <w:marTop w:val="0"/>
      <w:marBottom w:val="0"/>
      <w:divBdr>
        <w:top w:val="none" w:sz="0" w:space="0" w:color="auto"/>
        <w:left w:val="none" w:sz="0" w:space="0" w:color="auto"/>
        <w:bottom w:val="none" w:sz="0" w:space="0" w:color="auto"/>
        <w:right w:val="none" w:sz="0" w:space="0" w:color="auto"/>
      </w:divBdr>
    </w:div>
    <w:div w:id="1977947895">
      <w:bodyDiv w:val="1"/>
      <w:marLeft w:val="0"/>
      <w:marRight w:val="0"/>
      <w:marTop w:val="0"/>
      <w:marBottom w:val="0"/>
      <w:divBdr>
        <w:top w:val="none" w:sz="0" w:space="0" w:color="auto"/>
        <w:left w:val="none" w:sz="0" w:space="0" w:color="auto"/>
        <w:bottom w:val="none" w:sz="0" w:space="0" w:color="auto"/>
        <w:right w:val="none" w:sz="0" w:space="0" w:color="auto"/>
      </w:divBdr>
      <w:divsChild>
        <w:div w:id="504630840">
          <w:marLeft w:val="0"/>
          <w:marRight w:val="0"/>
          <w:marTop w:val="0"/>
          <w:marBottom w:val="0"/>
          <w:divBdr>
            <w:top w:val="none" w:sz="0" w:space="0" w:color="auto"/>
            <w:left w:val="none" w:sz="0" w:space="0" w:color="auto"/>
            <w:bottom w:val="none" w:sz="0" w:space="0" w:color="auto"/>
            <w:right w:val="none" w:sz="0" w:space="0" w:color="auto"/>
          </w:divBdr>
          <w:divsChild>
            <w:div w:id="76102327">
              <w:marLeft w:val="0"/>
              <w:marRight w:val="0"/>
              <w:marTop w:val="0"/>
              <w:marBottom w:val="0"/>
              <w:divBdr>
                <w:top w:val="none" w:sz="0" w:space="0" w:color="auto"/>
                <w:left w:val="none" w:sz="0" w:space="0" w:color="auto"/>
                <w:bottom w:val="none" w:sz="0" w:space="0" w:color="auto"/>
                <w:right w:val="none" w:sz="0" w:space="0" w:color="auto"/>
              </w:divBdr>
              <w:divsChild>
                <w:div w:id="6648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680">
      <w:bodyDiv w:val="1"/>
      <w:marLeft w:val="0"/>
      <w:marRight w:val="0"/>
      <w:marTop w:val="0"/>
      <w:marBottom w:val="0"/>
      <w:divBdr>
        <w:top w:val="none" w:sz="0" w:space="0" w:color="auto"/>
        <w:left w:val="none" w:sz="0" w:space="0" w:color="auto"/>
        <w:bottom w:val="none" w:sz="0" w:space="0" w:color="auto"/>
        <w:right w:val="none" w:sz="0" w:space="0" w:color="auto"/>
      </w:divBdr>
      <w:divsChild>
        <w:div w:id="1470705520">
          <w:marLeft w:val="0"/>
          <w:marRight w:val="0"/>
          <w:marTop w:val="0"/>
          <w:marBottom w:val="0"/>
          <w:divBdr>
            <w:top w:val="none" w:sz="0" w:space="0" w:color="auto"/>
            <w:left w:val="none" w:sz="0" w:space="0" w:color="auto"/>
            <w:bottom w:val="none" w:sz="0" w:space="0" w:color="auto"/>
            <w:right w:val="none" w:sz="0" w:space="0" w:color="auto"/>
          </w:divBdr>
          <w:divsChild>
            <w:div w:id="2041736966">
              <w:marLeft w:val="0"/>
              <w:marRight w:val="0"/>
              <w:marTop w:val="0"/>
              <w:marBottom w:val="0"/>
              <w:divBdr>
                <w:top w:val="none" w:sz="0" w:space="0" w:color="auto"/>
                <w:left w:val="none" w:sz="0" w:space="0" w:color="auto"/>
                <w:bottom w:val="none" w:sz="0" w:space="0" w:color="auto"/>
                <w:right w:val="none" w:sz="0" w:space="0" w:color="auto"/>
              </w:divBdr>
              <w:divsChild>
                <w:div w:id="210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4511">
      <w:bodyDiv w:val="1"/>
      <w:marLeft w:val="0"/>
      <w:marRight w:val="0"/>
      <w:marTop w:val="0"/>
      <w:marBottom w:val="0"/>
      <w:divBdr>
        <w:top w:val="none" w:sz="0" w:space="0" w:color="auto"/>
        <w:left w:val="none" w:sz="0" w:space="0" w:color="auto"/>
        <w:bottom w:val="none" w:sz="0" w:space="0" w:color="auto"/>
        <w:right w:val="none" w:sz="0" w:space="0" w:color="auto"/>
      </w:divBdr>
      <w:divsChild>
        <w:div w:id="236206614">
          <w:marLeft w:val="0"/>
          <w:marRight w:val="0"/>
          <w:marTop w:val="0"/>
          <w:marBottom w:val="0"/>
          <w:divBdr>
            <w:top w:val="none" w:sz="0" w:space="0" w:color="auto"/>
            <w:left w:val="none" w:sz="0" w:space="0" w:color="auto"/>
            <w:bottom w:val="none" w:sz="0" w:space="0" w:color="auto"/>
            <w:right w:val="none" w:sz="0" w:space="0" w:color="auto"/>
          </w:divBdr>
          <w:divsChild>
            <w:div w:id="1776368791">
              <w:marLeft w:val="0"/>
              <w:marRight w:val="0"/>
              <w:marTop w:val="0"/>
              <w:marBottom w:val="0"/>
              <w:divBdr>
                <w:top w:val="none" w:sz="0" w:space="0" w:color="auto"/>
                <w:left w:val="none" w:sz="0" w:space="0" w:color="auto"/>
                <w:bottom w:val="none" w:sz="0" w:space="0" w:color="auto"/>
                <w:right w:val="none" w:sz="0" w:space="0" w:color="auto"/>
              </w:divBdr>
              <w:divsChild>
                <w:div w:id="19482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5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ic.int/Implementation/ProcessforListingChemicals/IntersessionalWorkingGroup/tabid/5253/language/en-US/Default.aspx" TargetMode="External"/><Relationship Id="rId4" Type="http://schemas.openxmlformats.org/officeDocument/2006/relationships/hyperlink" Target="http://www.pic.int/Implementation/ProcessforListingChemicals/IntersessionalWorkingGroup/tabid/5253/language/en-US/Default.aspx" TargetMode="External"/><Relationship Id="rId1" Type="http://schemas.openxmlformats.org/officeDocument/2006/relationships/hyperlink" Target="https://www.fairtrade.net/fileadmin/user_upload/content/2009/standards/documents/Hazardous_Materials_List_EN.pdf" TargetMode="External"/><Relationship Id="rId2" Type="http://schemas.openxmlformats.org/officeDocument/2006/relationships/hyperlink" Target="https://www.utz.org/wp-content/uploads/2016/10/Pesticides-Position-Paper.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F340-97CB-2440-81FA-FF37FFD5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2568</Words>
  <Characters>14124</Characters>
  <Application>Microsoft Macintosh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universiteit utrecht</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veder</dc:creator>
  <cp:keywords/>
  <cp:lastModifiedBy>david Azoulay</cp:lastModifiedBy>
  <cp:revision>2</cp:revision>
  <dcterms:created xsi:type="dcterms:W3CDTF">2017-11-13T14:35:00Z</dcterms:created>
  <dcterms:modified xsi:type="dcterms:W3CDTF">2017-11-13T14:35:00Z</dcterms:modified>
</cp:coreProperties>
</file>